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b/>
          <w:color w:val="000000"/>
          <w:sz w:val="36"/>
          <w:szCs w:val="36"/>
        </w:rPr>
      </w:pPr>
      <w:r>
        <w:rPr>
          <w:rFonts w:hint="eastAsia" w:ascii="黑体" w:hAnsi="宋体" w:eastAsia="黑体"/>
          <w:b/>
          <w:color w:val="000000"/>
          <w:sz w:val="36"/>
          <w:szCs w:val="36"/>
        </w:rPr>
        <w:t>柳州市标准技术协会团体标准</w:t>
      </w:r>
      <w:r>
        <w:rPr>
          <w:rFonts w:ascii="黑体" w:hAnsi="宋体" w:eastAsia="黑体"/>
          <w:b/>
          <w:color w:val="000000"/>
          <w:sz w:val="36"/>
          <w:szCs w:val="36"/>
        </w:rPr>
        <w:t>《</w:t>
      </w:r>
      <w:r>
        <w:rPr>
          <w:rFonts w:hint="eastAsia" w:ascii="黑体" w:hAnsi="宋体" w:eastAsia="黑体"/>
          <w:b/>
          <w:color w:val="000000"/>
          <w:sz w:val="36"/>
          <w:szCs w:val="36"/>
          <w:lang w:val="en-US" w:eastAsia="zh-CN"/>
        </w:rPr>
        <w:t>茶叶鲜叶采摘技术规程</w:t>
      </w:r>
      <w:r>
        <w:rPr>
          <w:rFonts w:ascii="黑体" w:hAnsi="宋体" w:eastAsia="黑体"/>
          <w:b/>
          <w:color w:val="000000"/>
          <w:sz w:val="36"/>
          <w:szCs w:val="36"/>
        </w:rPr>
        <w:t>》</w:t>
      </w:r>
    </w:p>
    <w:p>
      <w:pPr>
        <w:jc w:val="center"/>
        <w:outlineLvl w:val="0"/>
        <w:rPr>
          <w:rFonts w:ascii="黑体" w:hAnsi="宋体" w:eastAsia="黑体"/>
          <w:color w:val="000000"/>
          <w:sz w:val="36"/>
          <w:szCs w:val="36"/>
        </w:rPr>
      </w:pPr>
      <w:r>
        <w:rPr>
          <w:rFonts w:hint="eastAsia" w:ascii="黑体" w:hAnsi="宋体" w:eastAsia="黑体"/>
          <w:b/>
          <w:color w:val="000000"/>
          <w:sz w:val="36"/>
          <w:szCs w:val="36"/>
        </w:rPr>
        <w:t>（征求意见稿）编制说明</w:t>
      </w:r>
    </w:p>
    <w:p>
      <w:pPr>
        <w:jc w:val="center"/>
        <w:rPr>
          <w:rFonts w:ascii="宋体" w:hAnsi="宋体"/>
          <w:b/>
          <w:color w:val="000000"/>
          <w:sz w:val="32"/>
          <w:szCs w:val="32"/>
        </w:rPr>
      </w:pPr>
    </w:p>
    <w:p>
      <w:pPr>
        <w:autoSpaceDE w:val="0"/>
        <w:autoSpaceDN w:val="0"/>
        <w:adjustRightInd w:val="0"/>
        <w:ind w:firstLine="560" w:firstLineChars="200"/>
        <w:jc w:val="left"/>
        <w:outlineLvl w:val="0"/>
        <w:rPr>
          <w:rFonts w:ascii="黑体" w:hAnsi="黑体" w:eastAsia="黑体" w:cs="仿宋_GB2312"/>
          <w:sz w:val="28"/>
          <w:szCs w:val="28"/>
        </w:rPr>
      </w:pPr>
      <w:r>
        <w:rPr>
          <w:rFonts w:hint="eastAsia" w:ascii="黑体" w:hAnsi="黑体" w:eastAsia="黑体" w:cs="仿宋_GB2312"/>
          <w:sz w:val="28"/>
          <w:szCs w:val="28"/>
        </w:rPr>
        <w:t>一、项目来源</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茶叶鲜叶采摘技术规程》由柳州市农业农村局提出，柳州市农业技术推广中心、广西壮族自治区产品质量检验研究院、贵州大学、柳州市林业科学研究所、三江侗族自治县茶叶产业发展中心、融水苗族自治县农业技术推广中心、柳州城市职业学院、柳州市茶业协会、三江侗族自治县仙池茶业有限公司等单位</w:t>
      </w:r>
      <w:r>
        <w:rPr>
          <w:rFonts w:hint="eastAsia" w:ascii="仿宋_GB2312" w:hAnsi="仿宋_GB2312" w:eastAsia="仿宋_GB2312" w:cs="仿宋_GB2312"/>
          <w:kern w:val="0"/>
          <w:sz w:val="32"/>
          <w:szCs w:val="32"/>
          <w:lang w:eastAsia="zh-CN"/>
        </w:rPr>
        <w:t>共同起草的柳州市团体标准。</w:t>
      </w:r>
    </w:p>
    <w:p>
      <w:pPr>
        <w:autoSpaceDE w:val="0"/>
        <w:autoSpaceDN w:val="0"/>
        <w:adjustRightInd w:val="0"/>
        <w:ind w:firstLine="560" w:firstLineChars="200"/>
        <w:jc w:val="left"/>
        <w:outlineLvl w:val="0"/>
        <w:rPr>
          <w:rFonts w:ascii="黑体" w:hAnsi="黑体" w:eastAsia="黑体" w:cs="仿宋_GB2312"/>
          <w:sz w:val="28"/>
          <w:szCs w:val="28"/>
          <w:highlight w:val="yellow"/>
        </w:rPr>
      </w:pPr>
      <w:r>
        <w:rPr>
          <w:rFonts w:hint="eastAsia" w:ascii="黑体" w:hAnsi="黑体" w:eastAsia="黑体" w:cs="仿宋_GB2312"/>
          <w:sz w:val="28"/>
          <w:szCs w:val="28"/>
        </w:rPr>
        <w:t>二、项目背景及目的意义</w:t>
      </w:r>
    </w:p>
    <w:p>
      <w:pPr>
        <w:keepNext w:val="0"/>
        <w:keepLines w:val="0"/>
        <w:pageBreakBefore w:val="0"/>
        <w:widowControl w:val="0"/>
        <w:kinsoku/>
        <w:wordWrap/>
        <w:overflowPunct/>
        <w:topLinePunct w:val="0"/>
        <w:autoSpaceDE w:val="0"/>
        <w:autoSpaceDN w:val="0"/>
        <w:bidi w:val="0"/>
        <w:adjustRightInd w:val="0"/>
        <w:spacing w:line="560" w:lineRule="exact"/>
        <w:ind w:firstLine="640" w:firstLineChars="200"/>
        <w:textAlignment w:val="auto"/>
        <w:rPr>
          <w:rFonts w:hint="eastAsia" w:ascii="楷体" w:hAnsi="楷体" w:eastAsia="楷体" w:cs="楷体"/>
          <w:b w:val="0"/>
          <w:bCs w:val="0"/>
          <w:kern w:val="0"/>
          <w:sz w:val="32"/>
          <w:szCs w:val="32"/>
          <w:lang w:eastAsia="zh-CN"/>
        </w:rPr>
      </w:pPr>
      <w:r>
        <w:rPr>
          <w:rFonts w:hint="eastAsia" w:ascii="楷体" w:hAnsi="楷体" w:eastAsia="楷体" w:cs="楷体"/>
          <w:b w:val="0"/>
          <w:bCs w:val="0"/>
          <w:kern w:val="0"/>
          <w:sz w:val="32"/>
          <w:szCs w:val="32"/>
          <w:lang w:eastAsia="zh-CN"/>
        </w:rPr>
        <w:t>（一）柳州市茶产业发展概况</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eastAsia="zh-CN"/>
        </w:rPr>
        <w:t>柳州茶叶历史悠久，早在20世纪60年代，柳州已成为广西红碎茶的主要生产基地，其产品出口至美、德、澳大利亚等国。优越的地理位置和气候条件具备生产优质茶叶的先天条件，全市茶叶种植面积约2</w:t>
      </w:r>
      <w:r>
        <w:rPr>
          <w:rFonts w:hint="eastAsia" w:ascii="仿宋_GB2312" w:hAnsi="仿宋_GB2312" w:eastAsia="仿宋_GB2312" w:cs="仿宋_GB2312"/>
          <w:kern w:val="0"/>
          <w:sz w:val="32"/>
          <w:szCs w:val="32"/>
          <w:lang w:val="en-US" w:eastAsia="zh-CN"/>
        </w:rPr>
        <w:t>7</w:t>
      </w:r>
      <w:r>
        <w:rPr>
          <w:rFonts w:hint="default" w:ascii="仿宋_GB2312" w:hAnsi="仿宋_GB2312" w:eastAsia="仿宋_GB2312" w:cs="仿宋_GB2312"/>
          <w:kern w:val="0"/>
          <w:sz w:val="32"/>
          <w:szCs w:val="32"/>
          <w:lang w:val="en" w:eastAsia="zh-CN"/>
        </w:rPr>
        <w:t>.8</w:t>
      </w:r>
      <w:r>
        <w:rPr>
          <w:rFonts w:hint="eastAsia" w:ascii="仿宋_GB2312" w:hAnsi="仿宋_GB2312" w:eastAsia="仿宋_GB2312" w:cs="仿宋_GB2312"/>
          <w:kern w:val="0"/>
          <w:sz w:val="32"/>
          <w:szCs w:val="32"/>
          <w:lang w:eastAsia="zh-CN"/>
        </w:rPr>
        <w:t>万亩，开采面积约2</w:t>
      </w:r>
      <w:r>
        <w:rPr>
          <w:rFonts w:hint="default" w:ascii="仿宋_GB2312" w:hAnsi="仿宋_GB2312" w:eastAsia="仿宋_GB2312" w:cs="仿宋_GB2312"/>
          <w:kern w:val="0"/>
          <w:sz w:val="32"/>
          <w:szCs w:val="32"/>
          <w:lang w:val="en" w:eastAsia="zh-CN"/>
        </w:rPr>
        <w:t>4</w:t>
      </w:r>
      <w:r>
        <w:rPr>
          <w:rFonts w:hint="eastAsia" w:ascii="仿宋_GB2312" w:hAnsi="仿宋_GB2312" w:eastAsia="仿宋_GB2312" w:cs="仿宋_GB2312"/>
          <w:kern w:val="0"/>
          <w:sz w:val="32"/>
          <w:szCs w:val="32"/>
          <w:lang w:eastAsia="zh-CN"/>
        </w:rPr>
        <w:t>万亩，一产产值</w:t>
      </w:r>
      <w:r>
        <w:rPr>
          <w:rFonts w:hint="eastAsia" w:ascii="仿宋_GB2312" w:hAnsi="仿宋_GB2312" w:eastAsia="仿宋_GB2312" w:cs="仿宋_GB2312"/>
          <w:kern w:val="0"/>
          <w:sz w:val="32"/>
          <w:szCs w:val="32"/>
          <w:lang w:val="en-US" w:eastAsia="zh-CN"/>
        </w:rPr>
        <w:t>20亿元，涉茶人员近40万人，为农民主要收入来源。</w:t>
      </w:r>
      <w:r>
        <w:rPr>
          <w:rFonts w:hint="eastAsia" w:ascii="仿宋_GB2312" w:hAnsi="仿宋_GB2312" w:eastAsia="仿宋_GB2312" w:cs="仿宋_GB2312"/>
          <w:kern w:val="0"/>
          <w:sz w:val="32"/>
          <w:szCs w:val="32"/>
          <w:lang w:eastAsia="zh-CN"/>
        </w:rPr>
        <w:t>主要分布在三江县（约2</w:t>
      </w:r>
      <w:r>
        <w:rPr>
          <w:rFonts w:hint="eastAsia" w:ascii="仿宋_GB2312" w:hAnsi="仿宋_GB2312" w:eastAsia="仿宋_GB2312" w:cs="仿宋_GB2312"/>
          <w:kern w:val="0"/>
          <w:sz w:val="32"/>
          <w:szCs w:val="32"/>
          <w:lang w:val="en-US" w:eastAsia="zh-CN"/>
        </w:rPr>
        <w:t>1</w:t>
      </w:r>
      <w:r>
        <w:rPr>
          <w:rFonts w:hint="default" w:ascii="仿宋_GB2312" w:hAnsi="仿宋_GB2312" w:eastAsia="仿宋_GB2312" w:cs="仿宋_GB2312"/>
          <w:kern w:val="0"/>
          <w:sz w:val="32"/>
          <w:szCs w:val="32"/>
          <w:lang w:val="en" w:eastAsia="zh-CN"/>
        </w:rPr>
        <w:t>.5</w:t>
      </w:r>
      <w:r>
        <w:rPr>
          <w:rFonts w:hint="eastAsia" w:ascii="仿宋_GB2312" w:hAnsi="仿宋_GB2312" w:eastAsia="仿宋_GB2312" w:cs="仿宋_GB2312"/>
          <w:kern w:val="0"/>
          <w:sz w:val="32"/>
          <w:szCs w:val="32"/>
          <w:lang w:eastAsia="zh-CN"/>
        </w:rPr>
        <w:t>万亩），融水县（约3.6万亩），柳城县（约0.34万亩），鹿寨县、融安县。茶树品种以福云6号、福鼎大毫为主，约占茶园总面积的50%，通过持续调整品种结构，引进龙井系列、桂茶系列、安吉白茶、金萱、梅占、黄</w:t>
      </w:r>
      <w:r>
        <w:rPr>
          <w:rFonts w:hint="eastAsia" w:ascii="仿宋_GB2312" w:hAnsi="仿宋_GB2312" w:eastAsia="仿宋_GB2312" w:cs="仿宋_GB2312"/>
          <w:sz w:val="32"/>
          <w:szCs w:val="32"/>
        </w:rPr>
        <w:t>金茶、中茶108等20余个国家级、省级无性系优良品种种植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茶产品主要以红茶为主，绿茶和白茶为辅，少量乌龙茶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黑茶</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rPr>
        <w:t>类茶产品（石崖茶、藤茶、荷叶茶、桑叶茶、香莲茶、茶树花茶、虫茶），红茶产量约占全年干茶产量的60%。</w:t>
      </w:r>
      <w:r>
        <w:rPr>
          <w:rFonts w:hint="eastAsia" w:ascii="仿宋_GB2312" w:hAnsi="仿宋_GB2312" w:eastAsia="仿宋_GB2312" w:cs="仿宋_GB2312"/>
          <w:sz w:val="32"/>
          <w:szCs w:val="32"/>
          <w:lang w:eastAsia="zh-CN"/>
        </w:rPr>
        <w:t>近年来，融水县发现连片古茶树、野生茶树资源，坚持“保护性开发”原则，采集开发了“大苗山红茶”。</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目前，</w:t>
      </w:r>
      <w:r>
        <w:rPr>
          <w:rFonts w:hint="eastAsia" w:ascii="仿宋_GB2312" w:hAnsi="仿宋_GB2312" w:eastAsia="仿宋_GB2312" w:cs="仿宋_GB2312"/>
          <w:sz w:val="32"/>
          <w:szCs w:val="32"/>
        </w:rPr>
        <w:t>全市茶叶加工企业500余家，其中，SC认证企业</w:t>
      </w:r>
      <w:r>
        <w:rPr>
          <w:rFonts w:hint="eastAsia" w:ascii="仿宋_GB2312" w:hAnsi="仿宋_GB2312" w:eastAsia="仿宋_GB2312" w:cs="仿宋_GB2312"/>
          <w:sz w:val="32"/>
          <w:szCs w:val="32"/>
          <w:lang w:val="en-US" w:eastAsia="zh-CN"/>
        </w:rPr>
        <w:t>93</w:t>
      </w:r>
      <w:r>
        <w:rPr>
          <w:rFonts w:hint="eastAsia" w:ascii="仿宋_GB2312" w:hAnsi="仿宋_GB2312" w:eastAsia="仿宋_GB2312" w:cs="仿宋_GB2312"/>
          <w:sz w:val="32"/>
          <w:szCs w:val="32"/>
        </w:rPr>
        <w:t>家，</w:t>
      </w:r>
      <w:r>
        <w:rPr>
          <w:rFonts w:hint="eastAsia" w:ascii="仿宋_GB2312" w:hAnsi="仿宋_GB2312" w:eastAsia="仿宋_GB2312" w:cs="仿宋_GB2312"/>
          <w:sz w:val="32"/>
          <w:szCs w:val="32"/>
          <w:lang w:eastAsia="zh-CN"/>
        </w:rPr>
        <w:t>其中，</w:t>
      </w:r>
      <w:r>
        <w:rPr>
          <w:rFonts w:hint="eastAsia" w:ascii="仿宋_GB2312" w:hAnsi="仿宋_GB2312" w:eastAsia="仿宋_GB2312" w:cs="仿宋_GB2312"/>
          <w:sz w:val="32"/>
          <w:szCs w:val="32"/>
        </w:rPr>
        <w:t>自治区级农业产业化重点龙头企业</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家，</w:t>
      </w:r>
      <w:r>
        <w:rPr>
          <w:rFonts w:hint="eastAsia" w:ascii="仿宋_GB2312" w:hAnsi="仿宋_GB2312" w:eastAsia="仿宋_GB2312" w:cs="仿宋_GB2312"/>
          <w:sz w:val="32"/>
          <w:szCs w:val="32"/>
          <w:lang w:eastAsia="zh-CN"/>
        </w:rPr>
        <w:t>市级</w:t>
      </w:r>
      <w:r>
        <w:rPr>
          <w:rFonts w:hint="eastAsia" w:ascii="仿宋_GB2312" w:hAnsi="仿宋_GB2312" w:eastAsia="仿宋_GB2312" w:cs="仿宋_GB2312"/>
          <w:sz w:val="32"/>
          <w:szCs w:val="32"/>
        </w:rPr>
        <w:t>农业产业化重点龙头企业总数达</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家</w:t>
      </w:r>
      <w:r>
        <w:rPr>
          <w:rFonts w:hint="eastAsia" w:ascii="仿宋_GB2312" w:hAnsi="仿宋_GB2312" w:eastAsia="仿宋_GB2312" w:cs="仿宋_GB2312"/>
          <w:sz w:val="32"/>
          <w:szCs w:val="32"/>
          <w:lang w:eastAsia="zh-CN"/>
        </w:rPr>
        <w:t>。经多年发展，</w:t>
      </w:r>
      <w:r>
        <w:rPr>
          <w:rFonts w:hint="default" w:ascii="仿宋_GB2312" w:hAnsi="仿宋_GB2312" w:eastAsia="仿宋_GB2312" w:cs="仿宋_GB2312"/>
          <w:sz w:val="32"/>
          <w:szCs w:val="32"/>
        </w:rPr>
        <w:t>“三江茶”获批原国家质检总局地理标志产品保护，入选国家地理标志保护工程；“三江早春茶”</w:t>
      </w:r>
      <w:r>
        <w:rPr>
          <w:rFonts w:hint="eastAsia" w:ascii="仿宋_GB2312" w:hAnsi="仿宋_GB2312" w:eastAsia="仿宋_GB2312" w:cs="仿宋_GB2312"/>
          <w:sz w:val="32"/>
          <w:szCs w:val="32"/>
          <w:lang w:eastAsia="zh-CN"/>
        </w:rPr>
        <w:t>“大苗山红茶”</w:t>
      </w:r>
      <w:r>
        <w:rPr>
          <w:rFonts w:hint="default" w:ascii="仿宋_GB2312" w:hAnsi="仿宋_GB2312" w:eastAsia="仿宋_GB2312" w:cs="仿宋_GB2312"/>
          <w:sz w:val="32"/>
          <w:szCs w:val="32"/>
        </w:rPr>
        <w:t>纳入农业农村部全国名特优新农产品名录，202</w:t>
      </w: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rPr>
        <w:t>年品牌价值攀升至6</w:t>
      </w:r>
      <w:r>
        <w:rPr>
          <w:rFonts w:hint="eastAsia" w:ascii="仿宋_GB2312" w:hAnsi="仿宋_GB2312" w:eastAsia="仿宋_GB2312" w:cs="仿宋_GB2312"/>
          <w:sz w:val="32"/>
          <w:szCs w:val="32"/>
          <w:lang w:val="en-US" w:eastAsia="zh-CN"/>
        </w:rPr>
        <w:t>7</w:t>
      </w:r>
      <w:r>
        <w:rPr>
          <w:rFonts w:hint="default"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rPr>
        <w:t>8亿元，跻身中国茶品牌区域公用品牌TOP50；三江县相继获评2025年度胡润中国茶业百强县、全国茶叶生态建设十强县，多次荣获全国重点产茶县、全国茶业百强县、中国名茶之乡、全国十大生态产茶县、茶业助力乡村振兴示范县域等国家级称号</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val="0"/>
        <w:spacing w:line="560" w:lineRule="exact"/>
        <w:ind w:firstLine="640" w:firstLineChars="200"/>
        <w:textAlignment w:val="auto"/>
        <w:rPr>
          <w:rFonts w:hint="eastAsia" w:ascii="楷体" w:hAnsi="楷体" w:eastAsia="楷体" w:cs="楷体"/>
          <w:b w:val="0"/>
          <w:bCs w:val="0"/>
          <w:kern w:val="0"/>
          <w:sz w:val="32"/>
          <w:szCs w:val="32"/>
          <w:lang w:eastAsia="zh-CN"/>
        </w:rPr>
      </w:pPr>
      <w:r>
        <w:rPr>
          <w:rFonts w:hint="eastAsia" w:ascii="楷体" w:hAnsi="楷体" w:eastAsia="楷体" w:cs="楷体"/>
          <w:b w:val="0"/>
          <w:bCs w:val="0"/>
          <w:kern w:val="0"/>
          <w:sz w:val="32"/>
          <w:szCs w:val="32"/>
          <w:lang w:eastAsia="zh-CN"/>
        </w:rPr>
        <w:t>（二）标准制定的必要性</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茶叶鲜叶采摘管理是茶园管理和茶叶品质管理的重要抓手，鲜叶采摘的好坏直接关系到成品茶的产量、品质以及茶树的生长发育。</w:t>
      </w:r>
      <w:r>
        <w:rPr>
          <w:rFonts w:hint="eastAsia" w:ascii="仿宋_GB2312" w:hAnsi="仿宋_GB2312" w:eastAsia="仿宋_GB2312" w:cs="仿宋_GB2312"/>
          <w:sz w:val="32"/>
          <w:szCs w:val="32"/>
        </w:rPr>
        <w:t>采摘标准因制茶种类不同而有很大差别，同一类茶不同等级的茶叶，也有不同的鲜叶嫩度标准。现代大量研究表明，不同鲜叶嫩度茶叶的化学成分不同，鲜叶嫩度不仅是茶多酚、氨基酸等含量的重要影响因子，同时也影响茶多糖的含量</w:t>
      </w:r>
      <w:r>
        <w:rPr>
          <w:rFonts w:hint="eastAsia" w:ascii="仿宋_GB2312" w:hAnsi="仿宋_GB2312" w:eastAsia="仿宋_GB2312" w:cs="仿宋_GB2312"/>
          <w:sz w:val="32"/>
          <w:szCs w:val="32"/>
          <w:lang w:eastAsia="zh-CN"/>
        </w:rPr>
        <w:t>，与茶叶产品品质直接相关</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茶叶是柳州农业种植业优势产业之一，调研发现，目前柳州市区域内尚未有针对本区域茶叶鲜叶采摘的统一技术规范，茶农的采摘技术全凭个人经验，加上采摘、盛装、贮存较为随意，存在鲜叶红变、劣变、损伤等问题，一定程度上影响了鲜叶的质量，尤其是古茶树、野生茶树亦给后续加工带来困难。据此，</w:t>
      </w:r>
      <w:r>
        <w:rPr>
          <w:rFonts w:hint="eastAsia" w:ascii="仿宋_GB2312" w:hAnsi="仿宋_GB2312" w:eastAsia="仿宋_GB2312" w:cs="仿宋_GB2312"/>
          <w:sz w:val="32"/>
          <w:szCs w:val="32"/>
          <w:lang w:eastAsia="zh-CN"/>
        </w:rPr>
        <w:t>亟需根据本地区的特点制定相适应的鲜叶采摘技术标准对鲜叶采摘进行规范与引导</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val="0"/>
        <w:autoSpaceDN w:val="0"/>
        <w:bidi w:val="0"/>
        <w:adjustRightInd w:val="0"/>
        <w:spacing w:line="560" w:lineRule="exact"/>
        <w:ind w:firstLine="640" w:firstLineChars="200"/>
        <w:textAlignment w:val="auto"/>
        <w:rPr>
          <w:rFonts w:hint="eastAsia" w:ascii="楷体" w:hAnsi="楷体" w:eastAsia="楷体" w:cs="楷体"/>
          <w:b w:val="0"/>
          <w:bCs w:val="0"/>
          <w:kern w:val="0"/>
          <w:sz w:val="32"/>
          <w:szCs w:val="32"/>
          <w:lang w:eastAsia="zh-CN"/>
        </w:rPr>
      </w:pPr>
      <w:r>
        <w:rPr>
          <w:rFonts w:hint="eastAsia" w:ascii="楷体" w:hAnsi="楷体" w:eastAsia="楷体" w:cs="楷体"/>
          <w:b w:val="0"/>
          <w:bCs w:val="0"/>
          <w:kern w:val="0"/>
          <w:sz w:val="32"/>
          <w:szCs w:val="32"/>
          <w:lang w:eastAsia="zh-CN"/>
        </w:rPr>
        <w:t>（</w:t>
      </w:r>
      <w:r>
        <w:rPr>
          <w:rFonts w:hint="eastAsia" w:ascii="楷体" w:hAnsi="楷体" w:eastAsia="楷体" w:cs="楷体"/>
          <w:b w:val="0"/>
          <w:bCs w:val="0"/>
          <w:kern w:val="0"/>
          <w:sz w:val="32"/>
          <w:szCs w:val="32"/>
          <w:lang w:val="en-US" w:eastAsia="zh-CN"/>
        </w:rPr>
        <w:t>三</w:t>
      </w:r>
      <w:r>
        <w:rPr>
          <w:rFonts w:hint="eastAsia" w:ascii="楷体" w:hAnsi="楷体" w:eastAsia="楷体" w:cs="楷体"/>
          <w:b w:val="0"/>
          <w:bCs w:val="0"/>
          <w:kern w:val="0"/>
          <w:sz w:val="32"/>
          <w:szCs w:val="32"/>
          <w:lang w:eastAsia="zh-CN"/>
        </w:rPr>
        <w:t>）标准制定的意义</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标准制定的意义在于促进柳州市区域内茶叶鲜叶的采摘、盛装、运输、贮存和处理更加科学、规范，加强茶叶鲜叶源头管控，进一步提升产品品质，打响品牌知名度，增加产品附加值，实现农业增效、农民增收，助力乡村振兴。</w:t>
      </w:r>
    </w:p>
    <w:p>
      <w:pPr>
        <w:autoSpaceDE w:val="0"/>
        <w:autoSpaceDN w:val="0"/>
        <w:adjustRightInd w:val="0"/>
        <w:ind w:firstLine="560" w:firstLineChars="200"/>
        <w:jc w:val="left"/>
        <w:outlineLvl w:val="0"/>
        <w:rPr>
          <w:rFonts w:ascii="黑体" w:hAnsi="黑体" w:eastAsia="黑体" w:cs="仿宋_GB2312"/>
          <w:sz w:val="28"/>
          <w:szCs w:val="28"/>
        </w:rPr>
      </w:pPr>
      <w:r>
        <w:rPr>
          <w:rFonts w:hint="eastAsia" w:ascii="黑体" w:hAnsi="黑体" w:eastAsia="黑体" w:cs="仿宋_GB2312"/>
          <w:sz w:val="28"/>
          <w:szCs w:val="28"/>
        </w:rPr>
        <w:t>三、项目编制过程</w:t>
      </w:r>
    </w:p>
    <w:p>
      <w:pPr>
        <w:ind w:firstLine="562" w:firstLineChars="200"/>
        <w:outlineLvl w:val="0"/>
        <w:rPr>
          <w:rFonts w:ascii="仿宋_GB2312" w:hAnsi="宋体" w:eastAsia="仿宋_GB2312"/>
          <w:sz w:val="28"/>
          <w:szCs w:val="28"/>
        </w:rPr>
      </w:pPr>
      <w:r>
        <w:rPr>
          <w:rFonts w:hint="eastAsia" w:ascii="仿宋_GB2312" w:hAnsi="仿宋_GB2312" w:eastAsia="仿宋_GB2312" w:cs="仿宋_GB2312"/>
          <w:b/>
          <w:sz w:val="28"/>
          <w:szCs w:val="28"/>
        </w:rPr>
        <w:t>（一）成立标准编制工作组</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由柳州市农业农村局提出，起草单位包括广西壮族自治区产品质量检验研究院、三江侗族自治县农业农村局、三江侗族自治县科技工贸和信息化局、三江侗族自治县茶叶产业化管理办公室、三江侗族自治县科技项目管理中心、三江侗族自治县仙池茶业有限公司，起草单位联合成立了标准编制工作组，明确任务职责，积极开展标准研制工作。具体分工如下：</w:t>
      </w:r>
    </w:p>
    <w:p>
      <w:pPr>
        <w:autoSpaceDE w:val="0"/>
        <w:autoSpaceDN w:val="0"/>
        <w:adjustRightInd w:val="0"/>
        <w:spacing w:line="560" w:lineRule="exact"/>
        <w:ind w:firstLine="640" w:firstLineChars="200"/>
        <w:jc w:val="center"/>
        <w:rPr>
          <w:rFonts w:hint="eastAsia" w:ascii="方正小标宋简体" w:hAnsi="方正小标宋简体" w:eastAsia="方正小标宋简体" w:cs="方正小标宋简体"/>
          <w:b w:val="0"/>
          <w:bCs w:val="0"/>
          <w:lang w:val="en-US" w:eastAsia="zh-CN"/>
        </w:rPr>
      </w:pPr>
      <w:r>
        <w:rPr>
          <w:rFonts w:hint="eastAsia" w:ascii="方正小标宋简体" w:hAnsi="方正小标宋简体" w:eastAsia="方正小标宋简体" w:cs="方正小标宋简体"/>
          <w:b w:val="0"/>
          <w:bCs w:val="0"/>
          <w:sz w:val="32"/>
          <w:szCs w:val="32"/>
          <w:lang w:val="en-US" w:eastAsia="zh-CN"/>
        </w:rPr>
        <w:t>标准编制工作分工表</w:t>
      </w:r>
    </w:p>
    <w:tbl>
      <w:tblPr>
        <w:tblStyle w:val="35"/>
        <w:tblW w:w="836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9"/>
        <w:gridCol w:w="2337"/>
        <w:gridCol w:w="1524"/>
        <w:gridCol w:w="1537"/>
        <w:gridCol w:w="177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b/>
                <w:bCs/>
                <w:sz w:val="24"/>
                <w:szCs w:val="24"/>
                <w:highlight w:val="none"/>
                <w:lang w:val="en-US" w:eastAsia="zh-CN"/>
              </w:rPr>
            </w:pPr>
            <w:r>
              <w:rPr>
                <w:rFonts w:hint="eastAsia" w:eastAsia="仿宋_GB2312"/>
                <w:b/>
                <w:bCs/>
                <w:sz w:val="24"/>
                <w:szCs w:val="24"/>
                <w:highlight w:val="none"/>
                <w:lang w:val="en-US" w:eastAsia="zh-CN"/>
              </w:rPr>
              <w:t>姓名</w:t>
            </w:r>
          </w:p>
        </w:tc>
        <w:tc>
          <w:tcPr>
            <w:tcW w:w="2337" w:type="dxa"/>
            <w:vAlign w:val="center"/>
          </w:tcPr>
          <w:p>
            <w:pPr>
              <w:jc w:val="center"/>
              <w:rPr>
                <w:rFonts w:hint="eastAsia" w:ascii="Times New Roman" w:hAnsi="Times New Roman" w:eastAsia="仿宋_GB2312"/>
                <w:b/>
                <w:bCs/>
                <w:sz w:val="24"/>
                <w:szCs w:val="24"/>
                <w:lang w:eastAsia="zh-CN"/>
              </w:rPr>
            </w:pPr>
            <w:r>
              <w:rPr>
                <w:rFonts w:hint="eastAsia" w:eastAsia="仿宋_GB2312"/>
                <w:b/>
                <w:bCs/>
                <w:sz w:val="24"/>
                <w:szCs w:val="24"/>
                <w:lang w:eastAsia="zh-CN"/>
              </w:rPr>
              <w:t>工作单位</w:t>
            </w:r>
          </w:p>
        </w:tc>
        <w:tc>
          <w:tcPr>
            <w:tcW w:w="1524" w:type="dxa"/>
            <w:vAlign w:val="center"/>
          </w:tcPr>
          <w:p>
            <w:pPr>
              <w:jc w:val="center"/>
              <w:rPr>
                <w:rFonts w:hint="default" w:ascii="Times New Roman" w:hAnsi="Times New Roman" w:eastAsia="仿宋_GB2312"/>
                <w:b/>
                <w:bCs/>
                <w:sz w:val="24"/>
                <w:szCs w:val="24"/>
                <w:lang w:val="en-US" w:eastAsia="zh-CN"/>
              </w:rPr>
            </w:pPr>
            <w:r>
              <w:rPr>
                <w:rFonts w:hint="eastAsia" w:eastAsia="仿宋_GB2312"/>
                <w:b/>
                <w:bCs/>
                <w:sz w:val="24"/>
                <w:szCs w:val="24"/>
                <w:lang w:val="en-US" w:eastAsia="zh-CN"/>
              </w:rPr>
              <w:t>职称/职务</w:t>
            </w:r>
          </w:p>
        </w:tc>
        <w:tc>
          <w:tcPr>
            <w:tcW w:w="1537" w:type="dxa"/>
            <w:vAlign w:val="center"/>
          </w:tcPr>
          <w:p>
            <w:pPr>
              <w:jc w:val="center"/>
              <w:rPr>
                <w:rFonts w:hint="eastAsia" w:ascii="Times New Roman" w:hAnsi="Times New Roman" w:eastAsia="仿宋_GB2312"/>
                <w:b/>
                <w:bCs/>
                <w:sz w:val="24"/>
                <w:szCs w:val="24"/>
                <w:lang w:val="en-US" w:eastAsia="zh-CN"/>
              </w:rPr>
            </w:pPr>
            <w:r>
              <w:rPr>
                <w:rFonts w:hint="eastAsia" w:eastAsia="仿宋_GB2312"/>
                <w:b/>
                <w:bCs/>
                <w:sz w:val="24"/>
                <w:szCs w:val="24"/>
                <w:lang w:val="en-US" w:eastAsia="zh-CN"/>
              </w:rPr>
              <w:t>专业</w:t>
            </w:r>
          </w:p>
        </w:tc>
        <w:tc>
          <w:tcPr>
            <w:tcW w:w="1772" w:type="dxa"/>
            <w:vAlign w:val="center"/>
          </w:tcPr>
          <w:p>
            <w:pPr>
              <w:jc w:val="center"/>
              <w:rPr>
                <w:rFonts w:hint="eastAsia" w:ascii="Times New Roman" w:hAnsi="Times New Roman" w:eastAsia="仿宋_GB2312"/>
                <w:b/>
                <w:bCs/>
                <w:sz w:val="24"/>
                <w:szCs w:val="24"/>
                <w:highlight w:val="none"/>
                <w:lang w:val="en-US" w:eastAsia="zh-CN"/>
              </w:rPr>
            </w:pPr>
            <w:r>
              <w:rPr>
                <w:rFonts w:hint="eastAsia" w:eastAsia="仿宋_GB2312"/>
                <w:b/>
                <w:bCs/>
                <w:sz w:val="24"/>
                <w:szCs w:val="24"/>
                <w:highlight w:val="none"/>
                <w:lang w:val="en-US" w:eastAsia="zh-CN"/>
              </w:rPr>
              <w:t>负责工作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葛智文</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柳州市农业技术推广中心</w:t>
            </w:r>
          </w:p>
        </w:tc>
        <w:tc>
          <w:tcPr>
            <w:tcW w:w="1524"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副科长/农艺师</w:t>
            </w:r>
          </w:p>
        </w:tc>
        <w:tc>
          <w:tcPr>
            <w:tcW w:w="15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茶学</w:t>
            </w:r>
          </w:p>
        </w:tc>
        <w:tc>
          <w:tcPr>
            <w:tcW w:w="1772"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文本编写与审核、总体协调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容崎康</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广西壮族自治区产品质量检验研究院</w:t>
            </w:r>
          </w:p>
        </w:tc>
        <w:tc>
          <w:tcPr>
            <w:tcW w:w="1524"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工程师</w:t>
            </w:r>
          </w:p>
        </w:tc>
        <w:tc>
          <w:tcPr>
            <w:tcW w:w="15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化学</w:t>
            </w:r>
          </w:p>
        </w:tc>
        <w:tc>
          <w:tcPr>
            <w:tcW w:w="1772"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项目调研、文本起草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陈涛林</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贵州大学</w:t>
            </w:r>
          </w:p>
        </w:tc>
        <w:tc>
          <w:tcPr>
            <w:tcW w:w="1524"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副教授、博士</w:t>
            </w:r>
          </w:p>
        </w:tc>
        <w:tc>
          <w:tcPr>
            <w:tcW w:w="15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茶学</w:t>
            </w:r>
          </w:p>
        </w:tc>
        <w:tc>
          <w:tcPr>
            <w:tcW w:w="1772"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指导文本编写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王熙富</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柳州市林业科学研究所</w:t>
            </w:r>
          </w:p>
        </w:tc>
        <w:tc>
          <w:tcPr>
            <w:tcW w:w="1524"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高级工程师</w:t>
            </w:r>
          </w:p>
        </w:tc>
        <w:tc>
          <w:tcPr>
            <w:tcW w:w="15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林学</w:t>
            </w:r>
          </w:p>
        </w:tc>
        <w:tc>
          <w:tcPr>
            <w:tcW w:w="1772"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项目调研、协助文本起草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赖安国</w:t>
            </w:r>
          </w:p>
        </w:tc>
        <w:tc>
          <w:tcPr>
            <w:tcW w:w="2337" w:type="dxa"/>
            <w:vAlign w:val="center"/>
          </w:tcPr>
          <w:p>
            <w:pPr>
              <w:jc w:val="center"/>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助理农艺师</w:t>
            </w:r>
          </w:p>
        </w:tc>
        <w:tc>
          <w:tcPr>
            <w:tcW w:w="1537" w:type="dxa"/>
            <w:vAlign w:val="center"/>
          </w:tcPr>
          <w:p>
            <w:pPr>
              <w:jc w:val="center"/>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茶学</w:t>
            </w:r>
          </w:p>
        </w:tc>
        <w:tc>
          <w:tcPr>
            <w:tcW w:w="1772" w:type="dxa"/>
            <w:vAlign w:val="center"/>
          </w:tcPr>
          <w:p>
            <w:pPr>
              <w:jc w:val="center"/>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茶叶鲜叶采摘技术指导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梁  雨</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农艺师</w:t>
            </w:r>
          </w:p>
        </w:tc>
        <w:tc>
          <w:tcPr>
            <w:tcW w:w="15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茶学</w:t>
            </w:r>
          </w:p>
        </w:tc>
        <w:tc>
          <w:tcPr>
            <w:tcW w:w="1772"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项目调研、协助文本起草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杨雪梅</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融水苗族自治县农业农村局</w:t>
            </w:r>
          </w:p>
        </w:tc>
        <w:tc>
          <w:tcPr>
            <w:tcW w:w="1524"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高级农艺师</w:t>
            </w:r>
          </w:p>
        </w:tc>
        <w:tc>
          <w:tcPr>
            <w:tcW w:w="15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茶学</w:t>
            </w:r>
          </w:p>
        </w:tc>
        <w:tc>
          <w:tcPr>
            <w:tcW w:w="1772"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项目调研、协助文本起草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张国富</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三江侗族自治县仙池茶业有限公司</w:t>
            </w:r>
          </w:p>
        </w:tc>
        <w:tc>
          <w:tcPr>
            <w:tcW w:w="1524" w:type="dxa"/>
            <w:vAlign w:val="center"/>
          </w:tcPr>
          <w:p>
            <w:pPr>
              <w:jc w:val="center"/>
              <w:rPr>
                <w:rFonts w:hint="default" w:ascii="Times New Roman" w:hAnsi="Times New Roman" w:eastAsia="仿宋_GB2312" w:cs="Times New Roman"/>
                <w:sz w:val="24"/>
                <w:szCs w:val="24"/>
                <w:highlight w:val="none"/>
                <w:lang w:val="en" w:eastAsia="zh-CN"/>
              </w:rPr>
            </w:pPr>
            <w:r>
              <w:rPr>
                <w:rFonts w:hint="eastAsia" w:ascii="Times New Roman" w:hAnsi="Times New Roman" w:eastAsia="仿宋_GB2312" w:cs="Times New Roman"/>
                <w:sz w:val="24"/>
                <w:szCs w:val="24"/>
                <w:highlight w:val="none"/>
                <w:lang w:val="en-US" w:eastAsia="zh-CN"/>
              </w:rPr>
              <w:t>高级农艺师</w:t>
            </w:r>
            <w:r>
              <w:rPr>
                <w:rFonts w:hint="default" w:ascii="Times New Roman" w:hAnsi="Times New Roman" w:eastAsia="仿宋_GB2312" w:cs="Times New Roman"/>
                <w:sz w:val="24"/>
                <w:szCs w:val="24"/>
                <w:highlight w:val="none"/>
                <w:lang w:val="en" w:eastAsia="zh-CN"/>
              </w:rPr>
              <w:t>/</w:t>
            </w:r>
            <w:r>
              <w:rPr>
                <w:rFonts w:hint="eastAsia" w:ascii="Times New Roman" w:hAnsi="Times New Roman" w:eastAsia="仿宋_GB2312" w:cs="Times New Roman"/>
                <w:sz w:val="24"/>
                <w:szCs w:val="24"/>
                <w:highlight w:val="none"/>
                <w:lang w:val="en" w:eastAsia="zh-CN"/>
              </w:rPr>
              <w:t>董事长</w:t>
            </w:r>
          </w:p>
        </w:tc>
        <w:tc>
          <w:tcPr>
            <w:tcW w:w="15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公共事业管理</w:t>
            </w:r>
          </w:p>
        </w:tc>
        <w:tc>
          <w:tcPr>
            <w:tcW w:w="1772"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项目调研、技术验证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侯  渊</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副主任</w:t>
            </w:r>
            <w:r>
              <w:rPr>
                <w:rFonts w:hint="default" w:ascii="Times New Roman" w:hAnsi="Times New Roman" w:eastAsia="仿宋_GB2312" w:cs="Times New Roman"/>
                <w:sz w:val="24"/>
                <w:szCs w:val="24"/>
                <w:highlight w:val="none"/>
                <w:lang w:val="en" w:eastAsia="zh-CN"/>
              </w:rPr>
              <w:t>/</w:t>
            </w:r>
            <w:r>
              <w:rPr>
                <w:rFonts w:hint="eastAsia" w:ascii="Times New Roman" w:hAnsi="Times New Roman" w:eastAsia="仿宋_GB2312" w:cs="Times New Roman"/>
                <w:sz w:val="24"/>
                <w:szCs w:val="24"/>
                <w:highlight w:val="none"/>
                <w:lang w:val="en-US" w:eastAsia="zh-CN"/>
              </w:rPr>
              <w:t>农艺师</w:t>
            </w:r>
          </w:p>
        </w:tc>
        <w:tc>
          <w:tcPr>
            <w:tcW w:w="15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农学</w:t>
            </w:r>
          </w:p>
        </w:tc>
        <w:tc>
          <w:tcPr>
            <w:tcW w:w="1772"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sz w:val="24"/>
                <w:szCs w:val="24"/>
                <w:highlight w:val="none"/>
                <w:lang w:val="en-US" w:eastAsia="zh-CN"/>
              </w:rPr>
              <w:t>茶叶鲜叶采摘技术指导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吉日文</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广西壮族自治区产品质量检验研究院</w:t>
            </w:r>
          </w:p>
        </w:tc>
        <w:tc>
          <w:tcPr>
            <w:tcW w:w="1524"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高级工程师</w:t>
            </w:r>
          </w:p>
        </w:tc>
        <w:tc>
          <w:tcPr>
            <w:tcW w:w="15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食品加工</w:t>
            </w:r>
          </w:p>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与安全</w:t>
            </w:r>
          </w:p>
        </w:tc>
        <w:tc>
          <w:tcPr>
            <w:tcW w:w="1772"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文本起草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宋昆儒</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主任</w:t>
            </w:r>
          </w:p>
        </w:tc>
        <w:tc>
          <w:tcPr>
            <w:tcW w:w="15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农学</w:t>
            </w:r>
          </w:p>
        </w:tc>
        <w:tc>
          <w:tcPr>
            <w:tcW w:w="1772"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项目调研、资料收集与分析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李</w:t>
            </w:r>
            <w:r>
              <w:rPr>
                <w:rFonts w:hint="eastAsia" w:eastAsia="仿宋_GB2312" w:cs="Times New Roman"/>
                <w:sz w:val="24"/>
                <w:szCs w:val="24"/>
                <w:highlight w:val="none"/>
                <w:lang w:val="en-US" w:eastAsia="zh-CN"/>
              </w:rPr>
              <w:t xml:space="preserve">  </w:t>
            </w:r>
            <w:r>
              <w:rPr>
                <w:rFonts w:hint="eastAsia" w:ascii="Times New Roman" w:hAnsi="Times New Roman" w:eastAsia="仿宋_GB2312" w:cs="Times New Roman"/>
                <w:sz w:val="24"/>
                <w:szCs w:val="24"/>
                <w:highlight w:val="none"/>
                <w:lang w:val="en-US" w:eastAsia="zh-CN"/>
              </w:rPr>
              <w:t>稳</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融水苗族自治县农业农村局 果茶站</w:t>
            </w:r>
          </w:p>
        </w:tc>
        <w:tc>
          <w:tcPr>
            <w:tcW w:w="1524"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主任</w:t>
            </w:r>
          </w:p>
        </w:tc>
        <w:tc>
          <w:tcPr>
            <w:tcW w:w="15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农学</w:t>
            </w:r>
          </w:p>
        </w:tc>
        <w:tc>
          <w:tcPr>
            <w:tcW w:w="1772"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项目调研、资料收集与分析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吴春群</w:t>
            </w:r>
          </w:p>
        </w:tc>
        <w:tc>
          <w:tcPr>
            <w:tcW w:w="2337" w:type="dxa"/>
            <w:vAlign w:val="center"/>
          </w:tcPr>
          <w:p>
            <w:pPr>
              <w:jc w:val="center"/>
              <w:rPr>
                <w:rFonts w:hint="eastAsia"/>
                <w:lang w:eastAsia="zh-CN"/>
              </w:rPr>
            </w:pPr>
            <w:r>
              <w:rPr>
                <w:rFonts w:hint="eastAsia" w:ascii="Times New Roman" w:hAnsi="Times New Roman" w:eastAsia="仿宋_GB2312" w:cs="Times New Roman"/>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高级农艺师</w:t>
            </w:r>
          </w:p>
        </w:tc>
        <w:tc>
          <w:tcPr>
            <w:tcW w:w="1537" w:type="dxa"/>
            <w:vAlign w:val="center"/>
          </w:tcPr>
          <w:p>
            <w:pPr>
              <w:jc w:val="center"/>
              <w:rPr>
                <w:rFonts w:hint="eastAsia"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农学</w:t>
            </w:r>
          </w:p>
        </w:tc>
        <w:tc>
          <w:tcPr>
            <w:tcW w:w="1772" w:type="dxa"/>
            <w:vAlign w:val="center"/>
          </w:tcPr>
          <w:p>
            <w:pPr>
              <w:jc w:val="center"/>
              <w:rPr>
                <w:rFonts w:hint="eastAsia" w:ascii="Times New Roman" w:hAnsi="Times New Roman" w:eastAsia="仿宋_GB2312"/>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文本起草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吴婷曼</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sz w:val="24"/>
                <w:szCs w:val="24"/>
                <w:lang w:val="en-US" w:eastAsia="zh-CN"/>
              </w:rPr>
              <w:t>农艺师</w:t>
            </w:r>
          </w:p>
        </w:tc>
        <w:tc>
          <w:tcPr>
            <w:tcW w:w="15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茶学</w:t>
            </w:r>
          </w:p>
        </w:tc>
        <w:tc>
          <w:tcPr>
            <w:tcW w:w="1772"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茶叶鲜叶采摘技术指导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康日晖</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柳州城市职业学院</w:t>
            </w:r>
          </w:p>
        </w:tc>
        <w:tc>
          <w:tcPr>
            <w:tcW w:w="1524"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教授</w:t>
            </w:r>
          </w:p>
        </w:tc>
        <w:tc>
          <w:tcPr>
            <w:tcW w:w="15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茶学</w:t>
            </w:r>
          </w:p>
        </w:tc>
        <w:tc>
          <w:tcPr>
            <w:tcW w:w="1772"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项目调研、资料收集与分析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区一杏</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柳州市农业技术推广中心</w:t>
            </w:r>
          </w:p>
        </w:tc>
        <w:tc>
          <w:tcPr>
            <w:tcW w:w="1524" w:type="dxa"/>
            <w:vAlign w:val="center"/>
          </w:tcPr>
          <w:p>
            <w:pPr>
              <w:jc w:val="center"/>
              <w:rPr>
                <w:rFonts w:hint="default" w:ascii="Times New Roman" w:hAnsi="Times New Roman" w:eastAsia="仿宋_GB2312" w:cs="Times New Roman"/>
                <w:sz w:val="24"/>
                <w:szCs w:val="24"/>
                <w:highlight w:val="none"/>
                <w:lang w:val="en" w:eastAsia="zh-CN"/>
              </w:rPr>
            </w:pPr>
            <w:r>
              <w:rPr>
                <w:rFonts w:hint="eastAsia" w:ascii="Times New Roman" w:hAnsi="Times New Roman" w:eastAsia="仿宋_GB2312" w:cs="Times New Roman"/>
                <w:sz w:val="24"/>
                <w:szCs w:val="24"/>
                <w:highlight w:val="none"/>
                <w:lang w:val="en-US" w:eastAsia="zh-CN"/>
              </w:rPr>
              <w:t>科长</w:t>
            </w:r>
            <w:r>
              <w:rPr>
                <w:rFonts w:hint="default" w:ascii="Times New Roman" w:hAnsi="Times New Roman" w:eastAsia="仿宋_GB2312" w:cs="Times New Roman"/>
                <w:sz w:val="24"/>
                <w:szCs w:val="24"/>
                <w:highlight w:val="none"/>
                <w:lang w:val="en" w:eastAsia="zh-CN"/>
              </w:rPr>
              <w:t>/</w:t>
            </w:r>
            <w:r>
              <w:rPr>
                <w:rFonts w:hint="eastAsia" w:ascii="Times New Roman" w:hAnsi="Times New Roman" w:eastAsia="仿宋_GB2312" w:cs="Times New Roman"/>
                <w:sz w:val="24"/>
                <w:szCs w:val="24"/>
                <w:highlight w:val="none"/>
                <w:lang w:val="en" w:eastAsia="zh-CN"/>
              </w:rPr>
              <w:t>助理农艺师</w:t>
            </w:r>
          </w:p>
        </w:tc>
        <w:tc>
          <w:tcPr>
            <w:tcW w:w="15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农学</w:t>
            </w:r>
          </w:p>
        </w:tc>
        <w:tc>
          <w:tcPr>
            <w:tcW w:w="1772"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文本起草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邓毅晖</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柳州市林业科学研究所</w:t>
            </w:r>
          </w:p>
        </w:tc>
        <w:tc>
          <w:tcPr>
            <w:tcW w:w="1524" w:type="dxa"/>
            <w:vAlign w:val="center"/>
          </w:tcPr>
          <w:p>
            <w:pPr>
              <w:jc w:val="center"/>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高级工程师</w:t>
            </w:r>
          </w:p>
        </w:tc>
        <w:tc>
          <w:tcPr>
            <w:tcW w:w="1537" w:type="dxa"/>
            <w:vAlign w:val="center"/>
          </w:tcPr>
          <w:p>
            <w:pPr>
              <w:jc w:val="center"/>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林学</w:t>
            </w:r>
          </w:p>
        </w:tc>
        <w:tc>
          <w:tcPr>
            <w:tcW w:w="1772"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文本起草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徐剑</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柳州市农业技术推广中心</w:t>
            </w:r>
          </w:p>
        </w:tc>
        <w:tc>
          <w:tcPr>
            <w:tcW w:w="1524" w:type="dxa"/>
            <w:vAlign w:val="center"/>
          </w:tcPr>
          <w:p>
            <w:pPr>
              <w:jc w:val="center"/>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农艺师</w:t>
            </w:r>
          </w:p>
        </w:tc>
        <w:tc>
          <w:tcPr>
            <w:tcW w:w="15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农学</w:t>
            </w:r>
          </w:p>
        </w:tc>
        <w:tc>
          <w:tcPr>
            <w:tcW w:w="1772"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茶叶鲜叶采摘技术指导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胡支向</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柳州市农业技术推广中心</w:t>
            </w:r>
          </w:p>
        </w:tc>
        <w:tc>
          <w:tcPr>
            <w:tcW w:w="1524" w:type="dxa"/>
            <w:vAlign w:val="center"/>
          </w:tcPr>
          <w:p>
            <w:pPr>
              <w:jc w:val="center"/>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副科长/农艺师</w:t>
            </w:r>
          </w:p>
        </w:tc>
        <w:tc>
          <w:tcPr>
            <w:tcW w:w="15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化学</w:t>
            </w:r>
          </w:p>
        </w:tc>
        <w:tc>
          <w:tcPr>
            <w:tcW w:w="1772"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茶叶鲜叶采摘技术指导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龙明强</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广西壮族自治区国有黄冕林场</w:t>
            </w:r>
          </w:p>
        </w:tc>
        <w:tc>
          <w:tcPr>
            <w:tcW w:w="1524" w:type="dxa"/>
            <w:vAlign w:val="center"/>
          </w:tcPr>
          <w:p>
            <w:pPr>
              <w:jc w:val="center"/>
              <w:rPr>
                <w:rFonts w:hint="eastAsia"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工程师</w:t>
            </w:r>
          </w:p>
        </w:tc>
        <w:tc>
          <w:tcPr>
            <w:tcW w:w="1537" w:type="dxa"/>
            <w:vAlign w:val="center"/>
          </w:tcPr>
          <w:p>
            <w:pPr>
              <w:jc w:val="center"/>
              <w:rPr>
                <w:rFonts w:hint="eastAsia"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茶学</w:t>
            </w:r>
          </w:p>
        </w:tc>
        <w:tc>
          <w:tcPr>
            <w:tcW w:w="1772" w:type="dxa"/>
            <w:vAlign w:val="center"/>
          </w:tcPr>
          <w:p>
            <w:pPr>
              <w:jc w:val="center"/>
              <w:rPr>
                <w:rFonts w:hint="eastAsia" w:ascii="Times New Roman" w:hAnsi="Times New Roman" w:eastAsia="仿宋_GB2312"/>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项目调研、技术验证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赵成俭</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三江侗族自治县仙池茶业有限公司</w:t>
            </w:r>
          </w:p>
        </w:tc>
        <w:tc>
          <w:tcPr>
            <w:tcW w:w="1524" w:type="dxa"/>
            <w:vAlign w:val="center"/>
          </w:tcPr>
          <w:p>
            <w:pPr>
              <w:jc w:val="center"/>
              <w:rPr>
                <w:rFonts w:hint="eastAsia"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技术负责人</w:t>
            </w:r>
          </w:p>
        </w:tc>
        <w:tc>
          <w:tcPr>
            <w:tcW w:w="1537" w:type="dxa"/>
            <w:vAlign w:val="center"/>
          </w:tcPr>
          <w:p>
            <w:pPr>
              <w:jc w:val="center"/>
              <w:rPr>
                <w:rFonts w:hint="eastAsia"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茶学</w:t>
            </w:r>
          </w:p>
        </w:tc>
        <w:tc>
          <w:tcPr>
            <w:tcW w:w="1772" w:type="dxa"/>
            <w:vAlign w:val="center"/>
          </w:tcPr>
          <w:p>
            <w:pPr>
              <w:jc w:val="center"/>
              <w:rPr>
                <w:rFonts w:hint="eastAsia" w:ascii="Times New Roman" w:hAnsi="Times New Roman" w:eastAsia="仿宋_GB2312"/>
                <w:sz w:val="24"/>
                <w:szCs w:val="24"/>
                <w:highlight w:val="none"/>
                <w:lang w:val="en-US" w:eastAsia="zh-CN"/>
              </w:rPr>
            </w:pPr>
            <w:r>
              <w:rPr>
                <w:rFonts w:hint="eastAsia" w:ascii="Times New Roman" w:hAnsi="Times New Roman" w:eastAsia="仿宋_GB2312"/>
                <w:sz w:val="24"/>
                <w:szCs w:val="24"/>
                <w:highlight w:val="none"/>
                <w:lang w:val="en-US" w:eastAsia="zh-CN"/>
              </w:rPr>
              <w:t>茶叶鲜叶采摘技术指导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黄梓雄</w:t>
            </w:r>
          </w:p>
        </w:tc>
        <w:tc>
          <w:tcPr>
            <w:tcW w:w="2337" w:type="dxa"/>
            <w:vAlign w:val="center"/>
          </w:tcPr>
          <w:p>
            <w:pPr>
              <w:jc w:val="center"/>
              <w:rPr>
                <w:rFonts w:hint="eastAsia" w:ascii="Times New Roman" w:hAnsi="Times New Roman" w:eastAsia="仿宋_GB2312" w:cs="Times New Roman"/>
                <w:sz w:val="24"/>
                <w:szCs w:val="24"/>
                <w:highlight w:val="none"/>
                <w:lang w:val="en-US" w:eastAsia="zh-CN"/>
              </w:rPr>
            </w:pPr>
            <w:r>
              <w:rPr>
                <w:rFonts w:hint="eastAsia" w:ascii="Times New Roman" w:hAnsi="Times New Roman" w:eastAsia="仿宋_GB2312" w:cs="Times New Roman"/>
                <w:sz w:val="24"/>
                <w:szCs w:val="24"/>
                <w:highlight w:val="none"/>
                <w:lang w:val="en-US" w:eastAsia="zh-CN"/>
              </w:rPr>
              <w:t>柳州市林业科学研究所</w:t>
            </w:r>
          </w:p>
        </w:tc>
        <w:tc>
          <w:tcPr>
            <w:tcW w:w="1524" w:type="dxa"/>
            <w:vAlign w:val="center"/>
          </w:tcPr>
          <w:p>
            <w:pPr>
              <w:jc w:val="center"/>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工程师</w:t>
            </w:r>
          </w:p>
        </w:tc>
        <w:tc>
          <w:tcPr>
            <w:tcW w:w="1537" w:type="dxa"/>
            <w:vAlign w:val="center"/>
          </w:tcPr>
          <w:p>
            <w:pPr>
              <w:jc w:val="center"/>
              <w:rPr>
                <w:rFonts w:hint="eastAsia" w:ascii="Times New Roman" w:hAnsi="Times New Roman" w:eastAsia="仿宋_GB2312" w:cs="Times New Roman"/>
                <w:kern w:val="2"/>
                <w:sz w:val="24"/>
                <w:szCs w:val="24"/>
                <w:highlight w:val="none"/>
                <w:lang w:val="en-US" w:eastAsia="zh-CN" w:bidi="ar-SA"/>
              </w:rPr>
            </w:pPr>
            <w:r>
              <w:rPr>
                <w:rFonts w:hint="eastAsia" w:ascii="Times New Roman" w:hAnsi="Times New Roman" w:eastAsia="仿宋_GB2312" w:cs="Times New Roman"/>
                <w:sz w:val="24"/>
                <w:szCs w:val="24"/>
                <w:highlight w:val="none"/>
                <w:lang w:val="en-US" w:eastAsia="zh-CN"/>
              </w:rPr>
              <w:t>林学</w:t>
            </w:r>
          </w:p>
        </w:tc>
        <w:tc>
          <w:tcPr>
            <w:tcW w:w="1772" w:type="dxa"/>
            <w:vAlign w:val="center"/>
          </w:tcPr>
          <w:p>
            <w:pPr>
              <w:jc w:val="center"/>
              <w:rPr>
                <w:rFonts w:hint="eastAsia" w:ascii="Times New Roman" w:hAnsi="Times New Roman" w:eastAsia="仿宋_GB2312"/>
                <w:sz w:val="24"/>
                <w:szCs w:val="24"/>
                <w:highlight w:val="none"/>
                <w:lang w:val="en-US" w:eastAsia="zh-CN"/>
              </w:rPr>
            </w:pPr>
            <w:r>
              <w:rPr>
                <w:rFonts w:hint="eastAsia" w:ascii="Times New Roman" w:hAnsi="Times New Roman" w:eastAsia="仿宋_GB2312"/>
                <w:sz w:val="24"/>
                <w:szCs w:val="24"/>
                <w:highlight w:val="none"/>
                <w:lang w:val="en-US" w:eastAsia="zh-CN"/>
              </w:rPr>
              <w:t>茶叶鲜叶采摘技术指导</w:t>
            </w:r>
          </w:p>
        </w:tc>
      </w:tr>
    </w:tbl>
    <w:p>
      <w:pPr>
        <w:ind w:firstLine="562" w:firstLineChars="200"/>
        <w:outlineLvl w:val="0"/>
        <w:rPr>
          <w:rFonts w:ascii="仿宋_GB2312" w:hAnsi="仿宋_GB2312" w:eastAsia="仿宋_GB2312" w:cs="仿宋_GB2312"/>
          <w:b/>
          <w:sz w:val="28"/>
          <w:szCs w:val="28"/>
        </w:rPr>
      </w:pPr>
      <w:r>
        <w:rPr>
          <w:rFonts w:hint="eastAsia" w:ascii="仿宋_GB2312" w:hAnsi="仿宋_GB2312" w:eastAsia="仿宋_GB2312" w:cs="仿宋_GB2312"/>
          <w:b/>
          <w:sz w:val="28"/>
          <w:szCs w:val="28"/>
        </w:rPr>
        <w:t>（二）收集整理资料</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标准编制工作组收集了国内有关茶叶鲜叶采摘的相关技术文献资料。主要有：</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1.NY/T 225-1994  机械化采茶技术规程</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2.《地理标志性产品 三江茶》DB45/T 1882-2018</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3.《六堡茶鲜叶采摘技术规程》DB45/T 2438-2022</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4.《茶叶鲜叶采摘技术规程》》DB51/T 2482-2018</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5.《山地茶园机械采摘技术规范》DB34/T 2202-2014</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6.《六堡茶茶园机械化修剪与采茶技术规程》DB45/T 2072-2019</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7.《茶叶采摘、加工与贮藏技术》</w:t>
      </w:r>
    </w:p>
    <w:p>
      <w:pPr>
        <w:ind w:firstLine="562" w:firstLineChars="200"/>
        <w:outlineLvl w:val="0"/>
        <w:rPr>
          <w:rFonts w:ascii="仿宋_GB2312" w:hAnsi="仿宋_GB2312" w:eastAsia="仿宋_GB2312" w:cs="仿宋_GB2312"/>
          <w:b/>
          <w:sz w:val="28"/>
          <w:szCs w:val="28"/>
        </w:rPr>
      </w:pPr>
      <w:r>
        <w:rPr>
          <w:rFonts w:hint="eastAsia" w:ascii="仿宋_GB2312" w:hAnsi="仿宋_GB2312" w:eastAsia="仿宋_GB2312" w:cs="仿宋_GB2312"/>
          <w:b/>
          <w:sz w:val="28"/>
          <w:szCs w:val="28"/>
        </w:rPr>
        <w:t>（三）研讨确定标准主体内容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标准起草编制小组成员深入柳州</w:t>
      </w:r>
      <w:r>
        <w:rPr>
          <w:rFonts w:hint="eastAsia" w:ascii="仿宋_GB2312" w:hAnsi="仿宋_GB2312" w:eastAsia="仿宋_GB2312" w:cs="仿宋_GB2312"/>
          <w:sz w:val="32"/>
          <w:szCs w:val="32"/>
        </w:rPr>
        <w:t>三江县、融水县、柳城县、鹿寨县</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lang w:val="en-US" w:eastAsia="zh-CN"/>
        </w:rPr>
        <w:t>茶叶主要种植地区，与当地茶叶种植大户、种植技术人员、当地农业推广站技术人员、县市场监管局及农业农村局专家等深入交谈了解，并查看了25个行政村、10家茶叶加工企业、23家茶叶加工小作坊的实际情况。标准编制工作组在对收集的技术资料进行整理研究，并结合各方专家观点的基础上对标准的主体内容进行拟定。经研究，该标准的主体内容确定为采摘要求、技术要点、质量要求、盛装、运输、贮存、生产档案等，充分体现了对茶叶鲜叶采摘的各项要求和规定。</w:t>
      </w:r>
    </w:p>
    <w:p>
      <w:pPr>
        <w:ind w:firstLine="562" w:firstLineChars="200"/>
        <w:outlineLvl w:val="0"/>
        <w:rPr>
          <w:rFonts w:ascii="仿宋_GB2312" w:hAnsi="仿宋_GB2312" w:eastAsia="仿宋_GB2312" w:cs="仿宋_GB2312"/>
          <w:b/>
          <w:sz w:val="28"/>
          <w:szCs w:val="28"/>
        </w:rPr>
      </w:pPr>
      <w:r>
        <w:rPr>
          <w:rFonts w:hint="eastAsia" w:ascii="仿宋_GB2312" w:hAnsi="仿宋_GB2312" w:eastAsia="仿宋_GB2312" w:cs="仿宋_GB2312"/>
          <w:b/>
          <w:sz w:val="28"/>
          <w:szCs w:val="28"/>
        </w:rPr>
        <w:t>（四）调研、形成征求意见稿</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2024年1～2月，标准起草工作组对项目进行了分工和部署，在进行广泛调研，查阅大量文献资料，并对茶叶鲜叶采摘的研究成果进行系统总结的基础上确定了标准的基本构架。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2024年3～2026年1月，在前期工作的基础上，标准起草工作组认真梳理了茶叶鲜叶采摘的技术要求和相关经验，并按照简化、统一等原则编制完成柳州市团体标准《茶叶鲜叶采摘技术规程（工作组讨论稿）》。</w:t>
      </w:r>
    </w:p>
    <w:p>
      <w:pPr>
        <w:pStyle w:val="57"/>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2026年2～4月，标准起草工作组再次深入柳州市主要茶叶种植县区进行实地调研，广泛他们收集反馈意见，进一步明确和掌握了各地关于茶叶鲜叶采摘的技术要求。标准编制工作组根据反馈意见多次召开会议，对标准草案进行了多次的研究讨论和修改，最终形成柳州市团体标准《茶叶鲜叶采摘技术规程（征求意见稿）》和征求意见稿编制说明。</w:t>
      </w:r>
    </w:p>
    <w:p>
      <w:pPr>
        <w:pStyle w:val="57"/>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2026年4月，标准起草工作组就《茶叶鲜叶采摘技术规程（征求意见稿）》向柳州市标准技术协会提交，公开向社会和定向向高校、科研院所、标准实施对象、领域专家等征求意见。</w:t>
      </w:r>
    </w:p>
    <w:p>
      <w:pPr>
        <w:autoSpaceDE w:val="0"/>
        <w:autoSpaceDN w:val="0"/>
        <w:adjustRightInd w:val="0"/>
        <w:ind w:firstLine="640" w:firstLineChars="200"/>
        <w:jc w:val="left"/>
        <w:outlineLvl w:val="0"/>
        <w:rPr>
          <w:rFonts w:ascii="黑体" w:hAnsi="黑体" w:eastAsia="黑体" w:cs="仿宋_GB2312"/>
          <w:sz w:val="32"/>
          <w:szCs w:val="32"/>
        </w:rPr>
      </w:pPr>
      <w:bookmarkStart w:id="0" w:name="_Toc526940083"/>
      <w:r>
        <w:rPr>
          <w:rFonts w:hint="eastAsia" w:ascii="黑体" w:hAnsi="黑体" w:eastAsia="黑体" w:cs="仿宋_GB2312"/>
          <w:sz w:val="32"/>
          <w:szCs w:val="32"/>
        </w:rPr>
        <w:t>四、标准制定原则</w:t>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1、实用性原则</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本文件是在充分收集分析茶叶鲜叶采摘相关资料、技术文献，有效结合实际的生产经验和技术要求并广泛社会征求意见的基础上起草的。对于指导茶叶鲜叶进行规范化、科学化采摘，强化茶叶加工原材料质量管控，进一步提升成品茶质量，有积极作用，同时也弥补了柳州地区在茶叶鲜叶采摘方面技术和标准空白。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2、协调性原则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本文件编写过程中注意与茶叶鲜叶采摘相关法律法规的协调问题，在内容上与现行法律法规、标准协调一致。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3、规范性原则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本标准的格式根据GB/T 1.1 的规定编写，引用文件完全符合相关的国家标准，所引用的规范性文件都是现行有效，没有违反现行法律、法规和有关国家强制性标准。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4、指导性原则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bookmarkStart w:id="1" w:name="_Toc526940084"/>
      <w:r>
        <w:rPr>
          <w:rFonts w:hint="eastAsia" w:ascii="仿宋_GB2312" w:hAnsi="仿宋_GB2312" w:eastAsia="仿宋_GB2312" w:cs="仿宋_GB2312"/>
          <w:sz w:val="32"/>
          <w:szCs w:val="32"/>
          <w:lang w:val="en-US" w:eastAsia="zh-CN"/>
        </w:rPr>
        <w:t>本标准中采摘原则、采摘时间、采摘标准、留叶方法、采摘方式、鲜叶盛装、运输、贮存、记录管理等要求明确且符合生产实际，易于理解和实施。</w:t>
      </w:r>
    </w:p>
    <w:p>
      <w:pPr>
        <w:autoSpaceDE w:val="0"/>
        <w:autoSpaceDN w:val="0"/>
        <w:adjustRightInd w:val="0"/>
        <w:ind w:firstLine="640" w:firstLineChars="200"/>
        <w:jc w:val="left"/>
        <w:rPr>
          <w:rFonts w:ascii="黑体" w:hAnsi="黑体" w:eastAsia="黑体" w:cs="仿宋_GB2312"/>
          <w:sz w:val="32"/>
          <w:szCs w:val="32"/>
        </w:rPr>
      </w:pPr>
      <w:r>
        <w:rPr>
          <w:rFonts w:hint="eastAsia" w:ascii="黑体" w:hAnsi="黑体" w:eastAsia="黑体" w:cs="仿宋_GB2312"/>
          <w:sz w:val="32"/>
          <w:szCs w:val="32"/>
        </w:rPr>
        <w:t>五、标准主要内容及依据来源</w:t>
      </w:r>
      <w:bookmarkEnd w:id="1"/>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柳州市标准技术协会团体标准《茶叶鲜叶采摘技术规程》主要章节内容包括：采摘、盛装、运输、贮存等各阶段的操作指示，描述了茶叶鲜叶采摘过程信息的追溯方法。具体内容如下：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（一） 范围</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本标准适用于本文件适用于柳州市行政区域内茶叶鲜叶的采摘。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（二） 规范性引用文件</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列举标准引用的规范性文件。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（三） 术语和定义</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对标准中的术语和定义进行解释。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（四） 采摘要求</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明确鲜叶的采摘要求，主要包括采摘原则、采摘时间、采摘安全间隔期、采摘标准等。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（五） 技术要点</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明确鲜叶采摘技术的要求，主要包括留叶方法、肥培管理、采摘方式等。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（六） 质量要求</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明确鲜叶质量要求。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（七） 鲜叶盛装、运输</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明确鲜叶采摘后盛装和运输的要求。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（八） 鲜叶贮存</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明确鲜叶采摘后的贮存要求。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（九）生产档案</w:t>
      </w:r>
    </w:p>
    <w:p>
      <w:pPr>
        <w:ind w:firstLine="640" w:firstLineChars="200"/>
        <w:outlineLvl w:val="0"/>
        <w:rPr>
          <w:rFonts w:hint="eastAsia" w:ascii="黑体" w:hAnsi="黑体" w:eastAsia="黑体" w:cs="仿宋_GB2312"/>
          <w:sz w:val="32"/>
          <w:szCs w:val="32"/>
        </w:rPr>
      </w:pPr>
      <w:r>
        <w:rPr>
          <w:rFonts w:hint="eastAsia" w:ascii="仿宋_GB2312" w:hAnsi="仿宋_GB2312" w:eastAsia="仿宋_GB2312" w:cs="仿宋_GB2312"/>
          <w:sz w:val="32"/>
          <w:szCs w:val="32"/>
          <w:lang w:val="en-US" w:eastAsia="zh-CN"/>
        </w:rPr>
        <w:t>明确鲜叶采摘、运输过程的记录信息以及生产档案的保存年限。</w:t>
      </w:r>
    </w:p>
    <w:p>
      <w:pPr>
        <w:pStyle w:val="20"/>
        <w:ind w:firstLine="480" w:firstLineChars="150"/>
        <w:outlineLvl w:val="0"/>
        <w:rPr>
          <w:rFonts w:ascii="黑体" w:hAnsi="黑体" w:eastAsia="黑体" w:cs="仿宋_GB2312"/>
          <w:sz w:val="32"/>
          <w:szCs w:val="32"/>
        </w:rPr>
      </w:pPr>
      <w:r>
        <w:rPr>
          <w:rFonts w:hint="eastAsia" w:ascii="黑体" w:hAnsi="黑体" w:eastAsia="黑体" w:cs="仿宋_GB2312"/>
          <w:sz w:val="32"/>
          <w:szCs w:val="32"/>
        </w:rPr>
        <w:t>六、国内同类标准制修订情况及与法律法规、强制性标准关系</w:t>
      </w:r>
    </w:p>
    <w:p>
      <w:pPr>
        <w:pStyle w:val="4"/>
        <w:keepNext w:val="0"/>
        <w:keepLines w:val="0"/>
        <w:pageBreakBefore w:val="0"/>
        <w:widowControl w:val="0"/>
        <w:kinsoku w:val="0"/>
        <w:wordWrap/>
        <w:overflowPunct w:val="0"/>
        <w:topLinePunct w:val="0"/>
        <w:autoSpaceDE/>
        <w:autoSpaceDN/>
        <w:bidi w:val="0"/>
        <w:adjustRightInd w:val="0"/>
        <w:snapToGrid w:val="0"/>
        <w:spacing w:beforeLines="0" w:after="0" w:afterLines="0" w:line="560" w:lineRule="exact"/>
        <w:ind w:left="0" w:leftChars="0" w:right="0" w:firstLine="640" w:firstLineChars="200"/>
        <w:textAlignment w:val="auto"/>
        <w:rPr>
          <w:rFonts w:hint="eastAsia" w:ascii="仿宋_GB2312" w:hAnsi="仿宋_GB2312" w:eastAsia="仿宋_GB2312" w:cs="仿宋_GB2312"/>
          <w:kern w:val="2"/>
          <w:sz w:val="32"/>
          <w:szCs w:val="32"/>
          <w:lang w:val="en-US" w:eastAsia="zh-CN" w:bidi="ar-SA"/>
        </w:rPr>
      </w:pPr>
      <w:bookmarkStart w:id="2" w:name="_Toc526940086"/>
      <w:r>
        <w:rPr>
          <w:rFonts w:hint="eastAsia" w:ascii="仿宋_GB2312" w:hAnsi="仿宋_GB2312" w:eastAsia="仿宋_GB2312" w:cs="仿宋_GB2312"/>
          <w:kern w:val="2"/>
          <w:sz w:val="32"/>
          <w:szCs w:val="32"/>
          <w:lang w:val="en-US" w:eastAsia="zh-CN" w:bidi="ar-SA"/>
        </w:rPr>
        <w:t>经国内多个标准信息服务平台查询，目前国内没有针对柳州茶叶鲜叶采摘的国家、行业和地方标准。</w:t>
      </w:r>
    </w:p>
    <w:p>
      <w:pPr>
        <w:pStyle w:val="4"/>
        <w:keepNext w:val="0"/>
        <w:keepLines w:val="0"/>
        <w:pageBreakBefore w:val="0"/>
        <w:widowControl w:val="0"/>
        <w:kinsoku w:val="0"/>
        <w:wordWrap/>
        <w:overflowPunct w:val="0"/>
        <w:topLinePunct w:val="0"/>
        <w:autoSpaceDE/>
        <w:autoSpaceDN/>
        <w:bidi w:val="0"/>
        <w:adjustRightInd w:val="0"/>
        <w:snapToGrid w:val="0"/>
        <w:spacing w:beforeLines="0" w:afterLines="0" w:line="560" w:lineRule="exact"/>
        <w:ind w:left="0" w:leftChars="0" w:right="0" w:firstLine="648" w:firstLineChars="200"/>
        <w:textAlignment w:val="auto"/>
        <w:rPr>
          <w:rFonts w:hint="eastAsia" w:cs="Times New Roman"/>
          <w:spacing w:val="2"/>
          <w:sz w:val="32"/>
        </w:rPr>
      </w:pPr>
      <w:r>
        <w:rPr>
          <w:rFonts w:hint="eastAsia" w:cs="Times New Roman"/>
          <w:spacing w:val="2"/>
          <w:sz w:val="32"/>
        </w:rPr>
        <w:t>本标准严格执行相关</w:t>
      </w:r>
      <w:r>
        <w:rPr>
          <w:rFonts w:hint="eastAsia" w:cs="Times New Roman"/>
          <w:spacing w:val="2"/>
          <w:sz w:val="32"/>
          <w:lang w:eastAsia="zh-CN"/>
        </w:rPr>
        <w:t>法律</w:t>
      </w:r>
      <w:r>
        <w:rPr>
          <w:rFonts w:hint="eastAsia" w:cs="Times New Roman"/>
          <w:spacing w:val="2"/>
          <w:sz w:val="32"/>
        </w:rPr>
        <w:t>法规、国家</w:t>
      </w:r>
      <w:r>
        <w:rPr>
          <w:rFonts w:hint="eastAsia" w:cs="Times New Roman"/>
          <w:spacing w:val="2"/>
          <w:sz w:val="32"/>
          <w:lang w:eastAsia="zh-CN"/>
        </w:rPr>
        <w:t>标准、行业标准</w:t>
      </w:r>
      <w:r>
        <w:rPr>
          <w:rFonts w:hint="eastAsia" w:cs="Times New Roman"/>
          <w:spacing w:val="2"/>
          <w:sz w:val="32"/>
        </w:rPr>
        <w:t>及广西地方标准，引用以下标准中的适用内容：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GB/T 8321（所有部分）  农药合理使用准则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GB/T 31748  茶鲜叶处理要求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NY/T 225  机械化采茶技术规程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NY/T 1276  农药安全使用规范 总则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T/LZBX 025  茶园病虫害绿色防控技术规程</w:t>
      </w:r>
    </w:p>
    <w:p>
      <w:pPr>
        <w:pStyle w:val="4"/>
        <w:keepNext w:val="0"/>
        <w:keepLines w:val="0"/>
        <w:pageBreakBefore w:val="0"/>
        <w:widowControl w:val="0"/>
        <w:kinsoku w:val="0"/>
        <w:wordWrap/>
        <w:overflowPunct w:val="0"/>
        <w:topLinePunct w:val="0"/>
        <w:autoSpaceDE/>
        <w:autoSpaceDN/>
        <w:bidi w:val="0"/>
        <w:adjustRightInd w:val="0"/>
        <w:snapToGrid w:val="0"/>
        <w:spacing w:beforeLines="0" w:after="0" w:afterLines="0" w:line="560" w:lineRule="exact"/>
        <w:ind w:left="0" w:leftChars="0" w:righ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本标准（征求意见稿）的制定是遵循《中华</w:t>
      </w:r>
      <w:bookmarkStart w:id="5" w:name="_GoBack"/>
      <w:bookmarkEnd w:id="5"/>
      <w:r>
        <w:rPr>
          <w:rFonts w:hint="eastAsia" w:ascii="仿宋_GB2312" w:hAnsi="仿宋_GB2312" w:eastAsia="仿宋_GB2312" w:cs="仿宋_GB2312"/>
          <w:kern w:val="2"/>
          <w:sz w:val="32"/>
          <w:szCs w:val="32"/>
          <w:lang w:val="en-US" w:eastAsia="zh-CN" w:bidi="ar-SA"/>
        </w:rPr>
        <w:t>人民共和国标准化法》等国家相关的法规和强制性标准，结合地方实际情况制定出来的，与现行的法律、法规及强制性标准无冲突。</w:t>
      </w:r>
    </w:p>
    <w:p>
      <w:pPr>
        <w:pStyle w:val="4"/>
        <w:keepNext w:val="0"/>
        <w:keepLines w:val="0"/>
        <w:pageBreakBefore w:val="0"/>
        <w:widowControl w:val="0"/>
        <w:kinsoku w:val="0"/>
        <w:wordWrap/>
        <w:overflowPunct w:val="0"/>
        <w:topLinePunct w:val="0"/>
        <w:autoSpaceDE/>
        <w:autoSpaceDN/>
        <w:bidi w:val="0"/>
        <w:adjustRightInd w:val="0"/>
        <w:snapToGrid w:val="0"/>
        <w:spacing w:beforeLines="0" w:after="0" w:afterLines="0" w:line="560" w:lineRule="exact"/>
        <w:ind w:right="0" w:firstLine="320" w:firstLineChars="100"/>
        <w:textAlignment w:val="auto"/>
        <w:rPr>
          <w:rFonts w:hint="default" w:ascii="仿宋_GB2312" w:hAnsi="仿宋_GB2312" w:eastAsia="仿宋_GB2312" w:cs="仿宋_GB2312"/>
          <w:kern w:val="2"/>
          <w:sz w:val="32"/>
          <w:szCs w:val="32"/>
          <w:lang w:val="en" w:eastAsia="zh-CN" w:bidi="ar-SA"/>
        </w:rPr>
      </w:pPr>
      <w:r>
        <w:rPr>
          <w:rFonts w:hint="eastAsia" w:ascii="仿宋_GB2312" w:hAnsi="仿宋_GB2312" w:eastAsia="仿宋_GB2312" w:cs="仿宋_GB2312"/>
          <w:kern w:val="2"/>
          <w:sz w:val="32"/>
          <w:szCs w:val="32"/>
          <w:lang w:val="en-US" w:eastAsia="zh-CN" w:bidi="ar-SA"/>
        </w:rPr>
        <w:t>综上所述，以上标准内未见与本项目关键词完全符合的标准。</w:t>
      </w:r>
    </w:p>
    <w:p>
      <w:pPr>
        <w:autoSpaceDE w:val="0"/>
        <w:autoSpaceDN w:val="0"/>
        <w:adjustRightInd w:val="0"/>
        <w:ind w:firstLine="640" w:firstLineChars="200"/>
        <w:jc w:val="left"/>
        <w:outlineLvl w:val="0"/>
        <w:rPr>
          <w:rFonts w:ascii="黑体" w:hAnsi="黑体" w:eastAsia="黑体" w:cs="仿宋_GB2312"/>
          <w:sz w:val="32"/>
          <w:szCs w:val="32"/>
        </w:rPr>
      </w:pPr>
      <w:r>
        <w:rPr>
          <w:rFonts w:hint="eastAsia" w:ascii="黑体" w:hAnsi="黑体" w:eastAsia="黑体" w:cs="仿宋_GB2312"/>
          <w:sz w:val="32"/>
          <w:szCs w:val="32"/>
        </w:rPr>
        <w:t>七、标准实施预期的效果</w:t>
      </w:r>
      <w:bookmarkEnd w:id="2"/>
    </w:p>
    <w:p>
      <w:pPr>
        <w:autoSpaceDE w:val="0"/>
        <w:autoSpaceDN w:val="0"/>
        <w:adjustRightInd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通过制定并实施柳州市标准技术协会团体标准《茶叶采摘技术规程》，可进一步完善柳州茶标准体系，规范全市各茶叶产区采摘行为，提升鲜叶原料品质与成品茶质量，助力农民增收，不断增强柳州茶的品牌影响力与市场竞争力。</w:t>
      </w:r>
    </w:p>
    <w:p>
      <w:pPr>
        <w:autoSpaceDE w:val="0"/>
        <w:autoSpaceDN w:val="0"/>
        <w:adjustRightInd w:val="0"/>
        <w:ind w:firstLine="640" w:firstLineChars="200"/>
        <w:jc w:val="left"/>
        <w:outlineLvl w:val="0"/>
        <w:rPr>
          <w:rFonts w:ascii="黑体" w:hAnsi="黑体" w:eastAsia="黑体" w:cs="仿宋_GB2312"/>
          <w:sz w:val="32"/>
          <w:szCs w:val="32"/>
        </w:rPr>
      </w:pPr>
      <w:r>
        <w:rPr>
          <w:rFonts w:hint="eastAsia" w:ascii="黑体" w:hAnsi="黑体" w:eastAsia="黑体" w:cs="仿宋_GB2312"/>
          <w:sz w:val="32"/>
          <w:szCs w:val="32"/>
        </w:rPr>
        <w:t>八、重大分歧意见的处理经过和依据</w:t>
      </w:r>
    </w:p>
    <w:p>
      <w:pPr>
        <w:autoSpaceDE w:val="0"/>
        <w:autoSpaceDN w:val="0"/>
        <w:adjustRightInd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本标准研制过程中无重大分歧意见。</w:t>
      </w:r>
    </w:p>
    <w:p>
      <w:pPr>
        <w:autoSpaceDE w:val="0"/>
        <w:autoSpaceDN w:val="0"/>
        <w:adjustRightInd w:val="0"/>
        <w:spacing w:before="156" w:beforeLines="50" w:after="156" w:afterLines="50" w:line="520" w:lineRule="exact"/>
        <w:ind w:firstLine="640" w:firstLineChars="200"/>
        <w:jc w:val="left"/>
        <w:outlineLvl w:val="0"/>
        <w:rPr>
          <w:rFonts w:ascii="黑体" w:hAnsi="黑体" w:eastAsia="黑体" w:cs="仿宋_GB2312"/>
          <w:sz w:val="32"/>
          <w:szCs w:val="32"/>
        </w:rPr>
      </w:pPr>
      <w:r>
        <w:rPr>
          <w:rFonts w:hint="eastAsia" w:ascii="黑体" w:hAnsi="黑体" w:eastAsia="黑体" w:cs="仿宋_GB2312"/>
          <w:sz w:val="32"/>
          <w:szCs w:val="32"/>
        </w:rPr>
        <w:t>九、自我承诺</w:t>
      </w:r>
    </w:p>
    <w:p>
      <w:pPr>
        <w:autoSpaceDE w:val="0"/>
        <w:autoSpaceDN w:val="0"/>
        <w:adjustRightInd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本标准内容与各项指标不低于国家强制性标准、推荐性国家标准和行业标准。</w:t>
      </w:r>
    </w:p>
    <w:p>
      <w:pPr>
        <w:autoSpaceDE w:val="0"/>
        <w:autoSpaceDN w:val="0"/>
        <w:adjustRightInd w:val="0"/>
        <w:ind w:firstLine="3520" w:firstLineChars="11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柳州市标准技术协会团体标准</w:t>
      </w:r>
    </w:p>
    <w:p>
      <w:pPr>
        <w:autoSpaceDE w:val="0"/>
        <w:autoSpaceDN w:val="0"/>
        <w:adjustRightInd w:val="0"/>
        <w:ind w:firstLine="2560" w:firstLineChars="8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《茶叶鲜叶采摘技术规程</w:t>
      </w:r>
      <w:bookmarkStart w:id="3" w:name="OLE_LINK13"/>
      <w:bookmarkStart w:id="4" w:name="OLE_LINK14"/>
      <w:r>
        <w:rPr>
          <w:rFonts w:hint="eastAsia" w:ascii="仿宋_GB2312" w:hAnsi="仿宋_GB2312" w:eastAsia="仿宋_GB2312" w:cs="仿宋_GB2312"/>
          <w:kern w:val="2"/>
          <w:sz w:val="32"/>
          <w:szCs w:val="32"/>
          <w:lang w:val="en-US" w:eastAsia="zh-CN" w:bidi="ar-SA"/>
        </w:rPr>
        <w:t>》标准编制工作组</w:t>
      </w:r>
      <w:bookmarkEnd w:id="3"/>
      <w:bookmarkEnd w:id="4"/>
    </w:p>
    <w:p>
      <w:pPr>
        <w:autoSpaceDE w:val="0"/>
        <w:autoSpaceDN w:val="0"/>
        <w:adjustRightInd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2026年4月13日</w:t>
      </w:r>
    </w:p>
    <w:sectPr>
      <w:headerReference r:id="rId3" w:type="default"/>
      <w:footerReference r:id="rId4" w:type="default"/>
      <w:pgSz w:w="11906" w:h="16838"/>
      <w:pgMar w:top="1474" w:right="1418" w:bottom="147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4896897"/>
      <w:docPartObj>
        <w:docPartGallery w:val="autotext"/>
      </w:docPartObj>
    </w:sdtPr>
    <w:sdtContent>
      <w:p>
        <w:pPr>
          <w:pStyle w:val="7"/>
          <w:jc w:val="center"/>
        </w:pPr>
        <w:r>
          <w:fldChar w:fldCharType="begin"/>
        </w:r>
        <w:r>
          <w:instrText xml:space="preserve">PAGE   \* MERGEFORMAT</w:instrText>
        </w:r>
        <w:r>
          <w:fldChar w:fldCharType="separate"/>
        </w:r>
        <w:r>
          <w:rPr>
            <w:lang w:val="zh-CN"/>
          </w:rPr>
          <w:t>5</w:t>
        </w:r>
        <w:r>
          <w:fldChar w:fldCharType="end"/>
        </w:r>
      </w:p>
    </w:sdtContent>
  </w:sdt>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AE237B"/>
    <w:multiLevelType w:val="multilevel"/>
    <w:tmpl w:val="E8AE237B"/>
    <w:lvl w:ilvl="0" w:tentative="0">
      <w:start w:val="1"/>
      <w:numFmt w:val="decimal"/>
      <w:pStyle w:val="5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5"/>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
    <w:nsid w:val="079102AD"/>
    <w:multiLevelType w:val="multilevel"/>
    <w:tmpl w:val="079102AD"/>
    <w:lvl w:ilvl="0" w:tentative="0">
      <w:start w:val="1"/>
      <w:numFmt w:val="decimal"/>
      <w:pStyle w:val="2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FC91163"/>
    <w:multiLevelType w:val="multilevel"/>
    <w:tmpl w:val="1FC91163"/>
    <w:lvl w:ilvl="0" w:tentative="0">
      <w:start w:val="1"/>
      <w:numFmt w:val="decimal"/>
      <w:pStyle w:val="2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sz w:val="21"/>
      </w:rPr>
    </w:lvl>
    <w:lvl w:ilvl="3" w:tentative="0">
      <w:start w:val="1"/>
      <w:numFmt w:val="decimal"/>
      <w:pStyle w:val="17"/>
      <w:suff w:val="nothing"/>
      <w:lvlText w:val="%1.%2.%3.%4　"/>
      <w:lvlJc w:val="left"/>
      <w:pPr>
        <w:ind w:left="0" w:firstLine="0"/>
      </w:pPr>
      <w:rPr>
        <w:rFonts w:hint="eastAsia" w:ascii="黑体" w:hAnsi="Times New Roman" w:eastAsia="黑体"/>
        <w:b w:val="0"/>
        <w:i w:val="0"/>
        <w:sz w:val="21"/>
      </w:rPr>
    </w:lvl>
    <w:lvl w:ilvl="4" w:tentative="0">
      <w:start w:val="1"/>
      <w:numFmt w:val="decimal"/>
      <w:pStyle w:val="16"/>
      <w:suff w:val="nothing"/>
      <w:lvlText w:val="%1.%2.%3.%4.%5　"/>
      <w:lvlJc w:val="left"/>
      <w:pPr>
        <w:ind w:left="0" w:firstLine="0"/>
      </w:pPr>
      <w:rPr>
        <w:rFonts w:hint="eastAsia" w:ascii="黑体" w:hAnsi="Times New Roman" w:eastAsia="黑体"/>
        <w:b w:val="0"/>
        <w:i w:val="0"/>
        <w:sz w:val="21"/>
      </w:rPr>
    </w:lvl>
    <w:lvl w:ilvl="5" w:tentative="0">
      <w:start w:val="1"/>
      <w:numFmt w:val="decimal"/>
      <w:pStyle w:val="1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A8F7113"/>
    <w:multiLevelType w:val="multilevel"/>
    <w:tmpl w:val="2A8F7113"/>
    <w:lvl w:ilvl="0" w:tentative="0">
      <w:start w:val="1"/>
      <w:numFmt w:val="upperLetter"/>
      <w:pStyle w:val="21"/>
      <w:suff w:val="space"/>
      <w:lvlText w:val="%1"/>
      <w:lvlJc w:val="left"/>
      <w:pPr>
        <w:ind w:left="623" w:hanging="425"/>
      </w:pPr>
      <w:rPr>
        <w:rFonts w:hint="eastAsia"/>
      </w:rPr>
    </w:lvl>
    <w:lvl w:ilvl="1" w:tentative="0">
      <w:start w:val="1"/>
      <w:numFmt w:val="decimal"/>
      <w:pStyle w:val="2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4">
    <w:nsid w:val="557C2AF5"/>
    <w:multiLevelType w:val="multilevel"/>
    <w:tmpl w:val="557C2AF5"/>
    <w:lvl w:ilvl="0" w:tentative="0">
      <w:start w:val="1"/>
      <w:numFmt w:val="decimal"/>
      <w:pStyle w:val="2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6">
    <w:nsid w:val="646260FA"/>
    <w:multiLevelType w:val="multilevel"/>
    <w:tmpl w:val="646260FA"/>
    <w:lvl w:ilvl="0" w:tentative="0">
      <w:start w:val="1"/>
      <w:numFmt w:val="decimal"/>
      <w:pStyle w:val="2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zYTVkZjdmOGI4NWYwZDE1Zjk3Mjg2YmU1MTlhYzYifQ=="/>
  </w:docVars>
  <w:rsids>
    <w:rsidRoot w:val="0042062E"/>
    <w:rsid w:val="00002AB5"/>
    <w:rsid w:val="00011411"/>
    <w:rsid w:val="0001541D"/>
    <w:rsid w:val="00016055"/>
    <w:rsid w:val="00021104"/>
    <w:rsid w:val="00023B4A"/>
    <w:rsid w:val="00024212"/>
    <w:rsid w:val="00024664"/>
    <w:rsid w:val="00024C32"/>
    <w:rsid w:val="000267B1"/>
    <w:rsid w:val="00030436"/>
    <w:rsid w:val="00031247"/>
    <w:rsid w:val="00033B64"/>
    <w:rsid w:val="00034233"/>
    <w:rsid w:val="00034BDB"/>
    <w:rsid w:val="00037FA0"/>
    <w:rsid w:val="000439C5"/>
    <w:rsid w:val="0006396F"/>
    <w:rsid w:val="00064AFD"/>
    <w:rsid w:val="00073031"/>
    <w:rsid w:val="000750BE"/>
    <w:rsid w:val="00080718"/>
    <w:rsid w:val="00085BEA"/>
    <w:rsid w:val="00090537"/>
    <w:rsid w:val="0009177A"/>
    <w:rsid w:val="00093E74"/>
    <w:rsid w:val="000973C9"/>
    <w:rsid w:val="000A0201"/>
    <w:rsid w:val="000A4601"/>
    <w:rsid w:val="000A64C4"/>
    <w:rsid w:val="000A6716"/>
    <w:rsid w:val="000A77CD"/>
    <w:rsid w:val="000B2D8F"/>
    <w:rsid w:val="000B4F43"/>
    <w:rsid w:val="000C2999"/>
    <w:rsid w:val="000C2F5F"/>
    <w:rsid w:val="000C7EAF"/>
    <w:rsid w:val="000D136E"/>
    <w:rsid w:val="000D1951"/>
    <w:rsid w:val="000D2643"/>
    <w:rsid w:val="000D5463"/>
    <w:rsid w:val="000D6612"/>
    <w:rsid w:val="000D7374"/>
    <w:rsid w:val="000E769A"/>
    <w:rsid w:val="000F040B"/>
    <w:rsid w:val="000F3365"/>
    <w:rsid w:val="000F7869"/>
    <w:rsid w:val="0010088E"/>
    <w:rsid w:val="001029B9"/>
    <w:rsid w:val="00104B83"/>
    <w:rsid w:val="00114946"/>
    <w:rsid w:val="001172A0"/>
    <w:rsid w:val="0012221F"/>
    <w:rsid w:val="00124BDB"/>
    <w:rsid w:val="00125FE1"/>
    <w:rsid w:val="00131E01"/>
    <w:rsid w:val="001454D1"/>
    <w:rsid w:val="001472B1"/>
    <w:rsid w:val="001474DF"/>
    <w:rsid w:val="0015270A"/>
    <w:rsid w:val="001606D1"/>
    <w:rsid w:val="00162A50"/>
    <w:rsid w:val="001630D1"/>
    <w:rsid w:val="001638FC"/>
    <w:rsid w:val="001639F1"/>
    <w:rsid w:val="00164265"/>
    <w:rsid w:val="00165926"/>
    <w:rsid w:val="0017366B"/>
    <w:rsid w:val="00181B5D"/>
    <w:rsid w:val="00184DD6"/>
    <w:rsid w:val="001923CF"/>
    <w:rsid w:val="001A04D3"/>
    <w:rsid w:val="001A0E4B"/>
    <w:rsid w:val="001A442E"/>
    <w:rsid w:val="001A4FE8"/>
    <w:rsid w:val="001C33D5"/>
    <w:rsid w:val="001C5F01"/>
    <w:rsid w:val="001C793C"/>
    <w:rsid w:val="001D14D7"/>
    <w:rsid w:val="001D21A4"/>
    <w:rsid w:val="001D4DAB"/>
    <w:rsid w:val="001D7816"/>
    <w:rsid w:val="001F0F63"/>
    <w:rsid w:val="001F4242"/>
    <w:rsid w:val="001F660A"/>
    <w:rsid w:val="0020345B"/>
    <w:rsid w:val="00205603"/>
    <w:rsid w:val="002116FB"/>
    <w:rsid w:val="00217F8F"/>
    <w:rsid w:val="002223DD"/>
    <w:rsid w:val="002268A0"/>
    <w:rsid w:val="002335C2"/>
    <w:rsid w:val="00234969"/>
    <w:rsid w:val="00235285"/>
    <w:rsid w:val="002357DB"/>
    <w:rsid w:val="0024414F"/>
    <w:rsid w:val="00244ADA"/>
    <w:rsid w:val="002465C7"/>
    <w:rsid w:val="0025321C"/>
    <w:rsid w:val="00262753"/>
    <w:rsid w:val="00264A7D"/>
    <w:rsid w:val="002662DB"/>
    <w:rsid w:val="002701A3"/>
    <w:rsid w:val="00274ABF"/>
    <w:rsid w:val="002768F4"/>
    <w:rsid w:val="00283085"/>
    <w:rsid w:val="0029084D"/>
    <w:rsid w:val="00292D3C"/>
    <w:rsid w:val="002B34EA"/>
    <w:rsid w:val="002B7C2C"/>
    <w:rsid w:val="002C2282"/>
    <w:rsid w:val="002C73B6"/>
    <w:rsid w:val="002D04D5"/>
    <w:rsid w:val="002D2312"/>
    <w:rsid w:val="002D3273"/>
    <w:rsid w:val="002E073F"/>
    <w:rsid w:val="002E17AF"/>
    <w:rsid w:val="002F0FAF"/>
    <w:rsid w:val="002F1D2C"/>
    <w:rsid w:val="002F21A9"/>
    <w:rsid w:val="002F4460"/>
    <w:rsid w:val="00300EDC"/>
    <w:rsid w:val="00303E23"/>
    <w:rsid w:val="00310912"/>
    <w:rsid w:val="00313CD9"/>
    <w:rsid w:val="00314DAC"/>
    <w:rsid w:val="003170B1"/>
    <w:rsid w:val="00331C9C"/>
    <w:rsid w:val="0033568D"/>
    <w:rsid w:val="00336FB4"/>
    <w:rsid w:val="0034189D"/>
    <w:rsid w:val="00343C24"/>
    <w:rsid w:val="003478B0"/>
    <w:rsid w:val="00351136"/>
    <w:rsid w:val="00355583"/>
    <w:rsid w:val="00362F10"/>
    <w:rsid w:val="00376BB8"/>
    <w:rsid w:val="003821B3"/>
    <w:rsid w:val="0038467E"/>
    <w:rsid w:val="00386CCB"/>
    <w:rsid w:val="00387EC4"/>
    <w:rsid w:val="003A1120"/>
    <w:rsid w:val="003A6D5F"/>
    <w:rsid w:val="003B4114"/>
    <w:rsid w:val="003C02F1"/>
    <w:rsid w:val="003C137D"/>
    <w:rsid w:val="003C13F3"/>
    <w:rsid w:val="003C6885"/>
    <w:rsid w:val="003C78B7"/>
    <w:rsid w:val="003D3679"/>
    <w:rsid w:val="003D5A8A"/>
    <w:rsid w:val="003D5CB5"/>
    <w:rsid w:val="003E6589"/>
    <w:rsid w:val="003E74E7"/>
    <w:rsid w:val="003F28D0"/>
    <w:rsid w:val="003F3119"/>
    <w:rsid w:val="003F4E82"/>
    <w:rsid w:val="0040035D"/>
    <w:rsid w:val="00401114"/>
    <w:rsid w:val="00406D12"/>
    <w:rsid w:val="0042062E"/>
    <w:rsid w:val="00422300"/>
    <w:rsid w:val="00424FCB"/>
    <w:rsid w:val="00425860"/>
    <w:rsid w:val="00426672"/>
    <w:rsid w:val="00430C32"/>
    <w:rsid w:val="004330B1"/>
    <w:rsid w:val="00434E46"/>
    <w:rsid w:val="00437192"/>
    <w:rsid w:val="00442B11"/>
    <w:rsid w:val="00446004"/>
    <w:rsid w:val="00446249"/>
    <w:rsid w:val="004503F4"/>
    <w:rsid w:val="00451379"/>
    <w:rsid w:val="0046025A"/>
    <w:rsid w:val="004605D8"/>
    <w:rsid w:val="00461B2A"/>
    <w:rsid w:val="004626AF"/>
    <w:rsid w:val="00463883"/>
    <w:rsid w:val="00474B2B"/>
    <w:rsid w:val="004765BE"/>
    <w:rsid w:val="004805D0"/>
    <w:rsid w:val="00482055"/>
    <w:rsid w:val="0048357F"/>
    <w:rsid w:val="00484EF3"/>
    <w:rsid w:val="004865C9"/>
    <w:rsid w:val="0049011A"/>
    <w:rsid w:val="00491E0D"/>
    <w:rsid w:val="0049390C"/>
    <w:rsid w:val="00496A1A"/>
    <w:rsid w:val="004A76AB"/>
    <w:rsid w:val="004B013D"/>
    <w:rsid w:val="004B18A5"/>
    <w:rsid w:val="004B2AC0"/>
    <w:rsid w:val="004B4F2A"/>
    <w:rsid w:val="004B551C"/>
    <w:rsid w:val="004C007F"/>
    <w:rsid w:val="004C4136"/>
    <w:rsid w:val="004C4623"/>
    <w:rsid w:val="004C6896"/>
    <w:rsid w:val="004C700C"/>
    <w:rsid w:val="004E234E"/>
    <w:rsid w:val="004F0C3B"/>
    <w:rsid w:val="004F48C2"/>
    <w:rsid w:val="00500180"/>
    <w:rsid w:val="00502B6E"/>
    <w:rsid w:val="00505181"/>
    <w:rsid w:val="0051279E"/>
    <w:rsid w:val="005160D9"/>
    <w:rsid w:val="005238C6"/>
    <w:rsid w:val="00525442"/>
    <w:rsid w:val="00530C2E"/>
    <w:rsid w:val="00535AC6"/>
    <w:rsid w:val="00541425"/>
    <w:rsid w:val="005428DD"/>
    <w:rsid w:val="00542A9D"/>
    <w:rsid w:val="00543105"/>
    <w:rsid w:val="00543B7B"/>
    <w:rsid w:val="005465CE"/>
    <w:rsid w:val="00560007"/>
    <w:rsid w:val="005639F8"/>
    <w:rsid w:val="00570FD7"/>
    <w:rsid w:val="005802BD"/>
    <w:rsid w:val="0058151C"/>
    <w:rsid w:val="00582397"/>
    <w:rsid w:val="005847F6"/>
    <w:rsid w:val="00584877"/>
    <w:rsid w:val="0059738A"/>
    <w:rsid w:val="005A4523"/>
    <w:rsid w:val="005A5F12"/>
    <w:rsid w:val="005A62C7"/>
    <w:rsid w:val="005A7762"/>
    <w:rsid w:val="005B0CDC"/>
    <w:rsid w:val="005B7B7E"/>
    <w:rsid w:val="005C00DD"/>
    <w:rsid w:val="005C49A1"/>
    <w:rsid w:val="005C6275"/>
    <w:rsid w:val="005C7DAD"/>
    <w:rsid w:val="005D1E48"/>
    <w:rsid w:val="005D1EE1"/>
    <w:rsid w:val="005D3F96"/>
    <w:rsid w:val="005D6A5C"/>
    <w:rsid w:val="005D7123"/>
    <w:rsid w:val="005E207A"/>
    <w:rsid w:val="005E2143"/>
    <w:rsid w:val="005E299F"/>
    <w:rsid w:val="005F18BE"/>
    <w:rsid w:val="005F41F3"/>
    <w:rsid w:val="005F6CE2"/>
    <w:rsid w:val="005F73E4"/>
    <w:rsid w:val="00606B5A"/>
    <w:rsid w:val="00610884"/>
    <w:rsid w:val="006113DA"/>
    <w:rsid w:val="00612920"/>
    <w:rsid w:val="00612ACE"/>
    <w:rsid w:val="00614D27"/>
    <w:rsid w:val="00621B66"/>
    <w:rsid w:val="00637FAF"/>
    <w:rsid w:val="006404F1"/>
    <w:rsid w:val="00644377"/>
    <w:rsid w:val="006610FC"/>
    <w:rsid w:val="006616D7"/>
    <w:rsid w:val="006624DD"/>
    <w:rsid w:val="0066640D"/>
    <w:rsid w:val="00670571"/>
    <w:rsid w:val="0067285A"/>
    <w:rsid w:val="0067289A"/>
    <w:rsid w:val="006811BF"/>
    <w:rsid w:val="00682FAD"/>
    <w:rsid w:val="0068494D"/>
    <w:rsid w:val="00687A44"/>
    <w:rsid w:val="00691C60"/>
    <w:rsid w:val="006938C0"/>
    <w:rsid w:val="00696788"/>
    <w:rsid w:val="00696D6C"/>
    <w:rsid w:val="00697164"/>
    <w:rsid w:val="00697F9F"/>
    <w:rsid w:val="006A39A9"/>
    <w:rsid w:val="006B1324"/>
    <w:rsid w:val="006B1333"/>
    <w:rsid w:val="006C383B"/>
    <w:rsid w:val="006E155C"/>
    <w:rsid w:val="006E1B80"/>
    <w:rsid w:val="006F51BD"/>
    <w:rsid w:val="00700D32"/>
    <w:rsid w:val="0070581A"/>
    <w:rsid w:val="007115E2"/>
    <w:rsid w:val="00712BC5"/>
    <w:rsid w:val="00713097"/>
    <w:rsid w:val="00720395"/>
    <w:rsid w:val="00723A72"/>
    <w:rsid w:val="00726016"/>
    <w:rsid w:val="007350AE"/>
    <w:rsid w:val="00736414"/>
    <w:rsid w:val="00742C96"/>
    <w:rsid w:val="0075401E"/>
    <w:rsid w:val="007626E1"/>
    <w:rsid w:val="007641A9"/>
    <w:rsid w:val="0076442C"/>
    <w:rsid w:val="00765E21"/>
    <w:rsid w:val="00766E51"/>
    <w:rsid w:val="007723C1"/>
    <w:rsid w:val="00772FB7"/>
    <w:rsid w:val="00773CEE"/>
    <w:rsid w:val="00775A56"/>
    <w:rsid w:val="00775B1C"/>
    <w:rsid w:val="00777372"/>
    <w:rsid w:val="007812EA"/>
    <w:rsid w:val="00781F1A"/>
    <w:rsid w:val="007911AD"/>
    <w:rsid w:val="00797654"/>
    <w:rsid w:val="007A0B2A"/>
    <w:rsid w:val="007A36E9"/>
    <w:rsid w:val="007A79E8"/>
    <w:rsid w:val="007B1349"/>
    <w:rsid w:val="007B2D48"/>
    <w:rsid w:val="007B74D5"/>
    <w:rsid w:val="007B7812"/>
    <w:rsid w:val="007B7EF6"/>
    <w:rsid w:val="007C4C1F"/>
    <w:rsid w:val="007C56D9"/>
    <w:rsid w:val="007D646F"/>
    <w:rsid w:val="007D710E"/>
    <w:rsid w:val="007D7B5D"/>
    <w:rsid w:val="007E0035"/>
    <w:rsid w:val="007E7D3E"/>
    <w:rsid w:val="007F05BA"/>
    <w:rsid w:val="007F5002"/>
    <w:rsid w:val="007F68DD"/>
    <w:rsid w:val="007F6EE5"/>
    <w:rsid w:val="00804451"/>
    <w:rsid w:val="00806117"/>
    <w:rsid w:val="008076A3"/>
    <w:rsid w:val="0081273A"/>
    <w:rsid w:val="00813BE2"/>
    <w:rsid w:val="008179BA"/>
    <w:rsid w:val="00820BAF"/>
    <w:rsid w:val="00825BEF"/>
    <w:rsid w:val="00826432"/>
    <w:rsid w:val="008275DE"/>
    <w:rsid w:val="00832E44"/>
    <w:rsid w:val="00837777"/>
    <w:rsid w:val="0085555C"/>
    <w:rsid w:val="008571E3"/>
    <w:rsid w:val="00857A24"/>
    <w:rsid w:val="00860076"/>
    <w:rsid w:val="00861122"/>
    <w:rsid w:val="00861F0A"/>
    <w:rsid w:val="00862E1E"/>
    <w:rsid w:val="00867D28"/>
    <w:rsid w:val="008757A2"/>
    <w:rsid w:val="00876FB0"/>
    <w:rsid w:val="0088023F"/>
    <w:rsid w:val="008853E8"/>
    <w:rsid w:val="00885E38"/>
    <w:rsid w:val="008860C3"/>
    <w:rsid w:val="00886C98"/>
    <w:rsid w:val="00890B67"/>
    <w:rsid w:val="00894920"/>
    <w:rsid w:val="008A4E80"/>
    <w:rsid w:val="008A5709"/>
    <w:rsid w:val="008A59D4"/>
    <w:rsid w:val="008B173F"/>
    <w:rsid w:val="008B1A6F"/>
    <w:rsid w:val="008B2B8B"/>
    <w:rsid w:val="008B4C8C"/>
    <w:rsid w:val="008C50B7"/>
    <w:rsid w:val="008D3059"/>
    <w:rsid w:val="008D3A8A"/>
    <w:rsid w:val="008D44E2"/>
    <w:rsid w:val="008D5C1F"/>
    <w:rsid w:val="008E0053"/>
    <w:rsid w:val="008E1868"/>
    <w:rsid w:val="008E6E4F"/>
    <w:rsid w:val="008F1626"/>
    <w:rsid w:val="008F24FB"/>
    <w:rsid w:val="008F3D40"/>
    <w:rsid w:val="00910D7C"/>
    <w:rsid w:val="0091499C"/>
    <w:rsid w:val="00917188"/>
    <w:rsid w:val="009226F2"/>
    <w:rsid w:val="009229D5"/>
    <w:rsid w:val="009252F7"/>
    <w:rsid w:val="00925604"/>
    <w:rsid w:val="009270FE"/>
    <w:rsid w:val="00933333"/>
    <w:rsid w:val="009341C1"/>
    <w:rsid w:val="00935693"/>
    <w:rsid w:val="00936A0A"/>
    <w:rsid w:val="00941269"/>
    <w:rsid w:val="009473B2"/>
    <w:rsid w:val="009535D5"/>
    <w:rsid w:val="00954D53"/>
    <w:rsid w:val="00956C23"/>
    <w:rsid w:val="009570E9"/>
    <w:rsid w:val="00967DA8"/>
    <w:rsid w:val="009728C7"/>
    <w:rsid w:val="0097322B"/>
    <w:rsid w:val="00975377"/>
    <w:rsid w:val="00977E22"/>
    <w:rsid w:val="009825F5"/>
    <w:rsid w:val="00983CDC"/>
    <w:rsid w:val="00986A46"/>
    <w:rsid w:val="0099135A"/>
    <w:rsid w:val="009934E0"/>
    <w:rsid w:val="00995208"/>
    <w:rsid w:val="00996801"/>
    <w:rsid w:val="00996B69"/>
    <w:rsid w:val="009A4DC7"/>
    <w:rsid w:val="009A64F9"/>
    <w:rsid w:val="009B609B"/>
    <w:rsid w:val="009B6515"/>
    <w:rsid w:val="009B6F4E"/>
    <w:rsid w:val="009C5703"/>
    <w:rsid w:val="009C793A"/>
    <w:rsid w:val="009D38DB"/>
    <w:rsid w:val="009E0AF8"/>
    <w:rsid w:val="009E4C08"/>
    <w:rsid w:val="009F0866"/>
    <w:rsid w:val="009F5386"/>
    <w:rsid w:val="00A06101"/>
    <w:rsid w:val="00A07644"/>
    <w:rsid w:val="00A11E9D"/>
    <w:rsid w:val="00A12368"/>
    <w:rsid w:val="00A12ECA"/>
    <w:rsid w:val="00A15750"/>
    <w:rsid w:val="00A21B62"/>
    <w:rsid w:val="00A304A7"/>
    <w:rsid w:val="00A32180"/>
    <w:rsid w:val="00A4094F"/>
    <w:rsid w:val="00A415B3"/>
    <w:rsid w:val="00A461B0"/>
    <w:rsid w:val="00A54EE3"/>
    <w:rsid w:val="00A57D80"/>
    <w:rsid w:val="00A60040"/>
    <w:rsid w:val="00A64033"/>
    <w:rsid w:val="00A64B84"/>
    <w:rsid w:val="00A65D09"/>
    <w:rsid w:val="00A713C1"/>
    <w:rsid w:val="00A7226B"/>
    <w:rsid w:val="00A760DE"/>
    <w:rsid w:val="00A83654"/>
    <w:rsid w:val="00A9034B"/>
    <w:rsid w:val="00AA482E"/>
    <w:rsid w:val="00AA5950"/>
    <w:rsid w:val="00AA6572"/>
    <w:rsid w:val="00AB5239"/>
    <w:rsid w:val="00AC28B8"/>
    <w:rsid w:val="00AC46BE"/>
    <w:rsid w:val="00AC73BF"/>
    <w:rsid w:val="00AD1275"/>
    <w:rsid w:val="00AD2DEA"/>
    <w:rsid w:val="00AD7458"/>
    <w:rsid w:val="00AE24A8"/>
    <w:rsid w:val="00AE41E8"/>
    <w:rsid w:val="00AE5FAF"/>
    <w:rsid w:val="00AE7774"/>
    <w:rsid w:val="00AF00B0"/>
    <w:rsid w:val="00AF02B6"/>
    <w:rsid w:val="00AF0C1B"/>
    <w:rsid w:val="00AF1437"/>
    <w:rsid w:val="00AF55C0"/>
    <w:rsid w:val="00B15395"/>
    <w:rsid w:val="00B17EA4"/>
    <w:rsid w:val="00B27F1E"/>
    <w:rsid w:val="00B35A2B"/>
    <w:rsid w:val="00B377FF"/>
    <w:rsid w:val="00B4108A"/>
    <w:rsid w:val="00B42191"/>
    <w:rsid w:val="00B52BC2"/>
    <w:rsid w:val="00B53603"/>
    <w:rsid w:val="00B54C81"/>
    <w:rsid w:val="00B652CF"/>
    <w:rsid w:val="00B6686A"/>
    <w:rsid w:val="00B71A93"/>
    <w:rsid w:val="00B846C4"/>
    <w:rsid w:val="00B91C42"/>
    <w:rsid w:val="00B91FFE"/>
    <w:rsid w:val="00B92326"/>
    <w:rsid w:val="00B93087"/>
    <w:rsid w:val="00B9665A"/>
    <w:rsid w:val="00BA156F"/>
    <w:rsid w:val="00BB0ED6"/>
    <w:rsid w:val="00BB4B74"/>
    <w:rsid w:val="00BC5615"/>
    <w:rsid w:val="00BD4F39"/>
    <w:rsid w:val="00BE3D94"/>
    <w:rsid w:val="00BE54B4"/>
    <w:rsid w:val="00BF2F71"/>
    <w:rsid w:val="00BF4A70"/>
    <w:rsid w:val="00BF4D95"/>
    <w:rsid w:val="00C070A2"/>
    <w:rsid w:val="00C110C7"/>
    <w:rsid w:val="00C1550E"/>
    <w:rsid w:val="00C20056"/>
    <w:rsid w:val="00C31CB8"/>
    <w:rsid w:val="00C31FF2"/>
    <w:rsid w:val="00C3361C"/>
    <w:rsid w:val="00C361AC"/>
    <w:rsid w:val="00C41D95"/>
    <w:rsid w:val="00C44645"/>
    <w:rsid w:val="00C44776"/>
    <w:rsid w:val="00C45595"/>
    <w:rsid w:val="00C47FF2"/>
    <w:rsid w:val="00C50A3F"/>
    <w:rsid w:val="00C51B7D"/>
    <w:rsid w:val="00C56649"/>
    <w:rsid w:val="00C6137D"/>
    <w:rsid w:val="00C61540"/>
    <w:rsid w:val="00C706FA"/>
    <w:rsid w:val="00C72660"/>
    <w:rsid w:val="00C7391B"/>
    <w:rsid w:val="00C73C82"/>
    <w:rsid w:val="00C757EA"/>
    <w:rsid w:val="00C776F6"/>
    <w:rsid w:val="00C82744"/>
    <w:rsid w:val="00C87122"/>
    <w:rsid w:val="00C919B8"/>
    <w:rsid w:val="00C93DED"/>
    <w:rsid w:val="00C94DDF"/>
    <w:rsid w:val="00C95A07"/>
    <w:rsid w:val="00C96D6E"/>
    <w:rsid w:val="00CA0CFD"/>
    <w:rsid w:val="00CA0F2F"/>
    <w:rsid w:val="00CA2E0F"/>
    <w:rsid w:val="00CA37C8"/>
    <w:rsid w:val="00CA3802"/>
    <w:rsid w:val="00CA617E"/>
    <w:rsid w:val="00CA6785"/>
    <w:rsid w:val="00CC2ACE"/>
    <w:rsid w:val="00CC2F06"/>
    <w:rsid w:val="00CC4EE7"/>
    <w:rsid w:val="00CC5609"/>
    <w:rsid w:val="00CD2392"/>
    <w:rsid w:val="00CD457E"/>
    <w:rsid w:val="00CD604E"/>
    <w:rsid w:val="00CE46F3"/>
    <w:rsid w:val="00CE57DF"/>
    <w:rsid w:val="00CF17A0"/>
    <w:rsid w:val="00D0021A"/>
    <w:rsid w:val="00D01E3B"/>
    <w:rsid w:val="00D07330"/>
    <w:rsid w:val="00D17591"/>
    <w:rsid w:val="00D21CD3"/>
    <w:rsid w:val="00D22354"/>
    <w:rsid w:val="00D264DA"/>
    <w:rsid w:val="00D26568"/>
    <w:rsid w:val="00D34827"/>
    <w:rsid w:val="00D414CE"/>
    <w:rsid w:val="00D42241"/>
    <w:rsid w:val="00D43721"/>
    <w:rsid w:val="00D451AB"/>
    <w:rsid w:val="00D4613C"/>
    <w:rsid w:val="00D55DB6"/>
    <w:rsid w:val="00D578AF"/>
    <w:rsid w:val="00D61621"/>
    <w:rsid w:val="00D642D9"/>
    <w:rsid w:val="00D65D7A"/>
    <w:rsid w:val="00D6793A"/>
    <w:rsid w:val="00D70550"/>
    <w:rsid w:val="00D7347C"/>
    <w:rsid w:val="00D75572"/>
    <w:rsid w:val="00D77A8E"/>
    <w:rsid w:val="00D811D1"/>
    <w:rsid w:val="00D821B5"/>
    <w:rsid w:val="00D87CD2"/>
    <w:rsid w:val="00D9410C"/>
    <w:rsid w:val="00D944CB"/>
    <w:rsid w:val="00D94A98"/>
    <w:rsid w:val="00DA59FA"/>
    <w:rsid w:val="00DB295F"/>
    <w:rsid w:val="00DB3826"/>
    <w:rsid w:val="00DB38F3"/>
    <w:rsid w:val="00DB57E2"/>
    <w:rsid w:val="00DC21EB"/>
    <w:rsid w:val="00DC4486"/>
    <w:rsid w:val="00DD54DD"/>
    <w:rsid w:val="00DD5F2B"/>
    <w:rsid w:val="00DE00C5"/>
    <w:rsid w:val="00DE3DDE"/>
    <w:rsid w:val="00DE3FB5"/>
    <w:rsid w:val="00DE4E1B"/>
    <w:rsid w:val="00DF1E6B"/>
    <w:rsid w:val="00E00D0A"/>
    <w:rsid w:val="00E07A34"/>
    <w:rsid w:val="00E10DA6"/>
    <w:rsid w:val="00E13FE6"/>
    <w:rsid w:val="00E1441D"/>
    <w:rsid w:val="00E15E47"/>
    <w:rsid w:val="00E224D8"/>
    <w:rsid w:val="00E250B0"/>
    <w:rsid w:val="00E40596"/>
    <w:rsid w:val="00E40EE7"/>
    <w:rsid w:val="00E427C0"/>
    <w:rsid w:val="00E45EC3"/>
    <w:rsid w:val="00E50371"/>
    <w:rsid w:val="00E60B6F"/>
    <w:rsid w:val="00E638C8"/>
    <w:rsid w:val="00E658DD"/>
    <w:rsid w:val="00E765E2"/>
    <w:rsid w:val="00E812DC"/>
    <w:rsid w:val="00E82204"/>
    <w:rsid w:val="00E8377B"/>
    <w:rsid w:val="00E853BC"/>
    <w:rsid w:val="00E9630A"/>
    <w:rsid w:val="00E96877"/>
    <w:rsid w:val="00EA1188"/>
    <w:rsid w:val="00EA3A5B"/>
    <w:rsid w:val="00EA6788"/>
    <w:rsid w:val="00EA79D5"/>
    <w:rsid w:val="00EB33B9"/>
    <w:rsid w:val="00ED4DE4"/>
    <w:rsid w:val="00EE3D56"/>
    <w:rsid w:val="00EE597A"/>
    <w:rsid w:val="00EF122C"/>
    <w:rsid w:val="00EF2E34"/>
    <w:rsid w:val="00EF5A9B"/>
    <w:rsid w:val="00F02764"/>
    <w:rsid w:val="00F041BF"/>
    <w:rsid w:val="00F043FA"/>
    <w:rsid w:val="00F04FEF"/>
    <w:rsid w:val="00F051BA"/>
    <w:rsid w:val="00F101D4"/>
    <w:rsid w:val="00F10FC9"/>
    <w:rsid w:val="00F14F24"/>
    <w:rsid w:val="00F171CA"/>
    <w:rsid w:val="00F210FD"/>
    <w:rsid w:val="00F26AEE"/>
    <w:rsid w:val="00F339EF"/>
    <w:rsid w:val="00F4155A"/>
    <w:rsid w:val="00F47F48"/>
    <w:rsid w:val="00F51DF0"/>
    <w:rsid w:val="00F52C16"/>
    <w:rsid w:val="00F54E72"/>
    <w:rsid w:val="00F71D75"/>
    <w:rsid w:val="00F72F06"/>
    <w:rsid w:val="00F76618"/>
    <w:rsid w:val="00F831BE"/>
    <w:rsid w:val="00F85E04"/>
    <w:rsid w:val="00F915EB"/>
    <w:rsid w:val="00F9209E"/>
    <w:rsid w:val="00F927DD"/>
    <w:rsid w:val="00F93339"/>
    <w:rsid w:val="00FA1098"/>
    <w:rsid w:val="00FA3EE8"/>
    <w:rsid w:val="00FA6535"/>
    <w:rsid w:val="00FB26D2"/>
    <w:rsid w:val="00FB408C"/>
    <w:rsid w:val="00FB4548"/>
    <w:rsid w:val="00FC0F17"/>
    <w:rsid w:val="00FC19B9"/>
    <w:rsid w:val="00FD00A5"/>
    <w:rsid w:val="00FD0924"/>
    <w:rsid w:val="00FD1850"/>
    <w:rsid w:val="00FD66A6"/>
    <w:rsid w:val="00FE0A17"/>
    <w:rsid w:val="019A2AAA"/>
    <w:rsid w:val="02CB0298"/>
    <w:rsid w:val="02FF2217"/>
    <w:rsid w:val="046B50D0"/>
    <w:rsid w:val="05973600"/>
    <w:rsid w:val="065B01FC"/>
    <w:rsid w:val="07123294"/>
    <w:rsid w:val="08163323"/>
    <w:rsid w:val="08B75F8F"/>
    <w:rsid w:val="09502F56"/>
    <w:rsid w:val="0AA103E4"/>
    <w:rsid w:val="0B093153"/>
    <w:rsid w:val="0BCA69ED"/>
    <w:rsid w:val="0D5F331D"/>
    <w:rsid w:val="0ECB2CE4"/>
    <w:rsid w:val="101C4465"/>
    <w:rsid w:val="10254503"/>
    <w:rsid w:val="10FA1934"/>
    <w:rsid w:val="129E286B"/>
    <w:rsid w:val="15936C45"/>
    <w:rsid w:val="1741230D"/>
    <w:rsid w:val="175F5F0F"/>
    <w:rsid w:val="17A55019"/>
    <w:rsid w:val="1A3B7A63"/>
    <w:rsid w:val="1B867962"/>
    <w:rsid w:val="1CEB4B8B"/>
    <w:rsid w:val="1DBE6F83"/>
    <w:rsid w:val="1EAA7130"/>
    <w:rsid w:val="1F1B7305"/>
    <w:rsid w:val="1F2B5457"/>
    <w:rsid w:val="1FF59602"/>
    <w:rsid w:val="22297B88"/>
    <w:rsid w:val="222A0897"/>
    <w:rsid w:val="229923DC"/>
    <w:rsid w:val="235B29DA"/>
    <w:rsid w:val="242D64E2"/>
    <w:rsid w:val="25054A3B"/>
    <w:rsid w:val="256B1CBE"/>
    <w:rsid w:val="28406939"/>
    <w:rsid w:val="28AC5FFC"/>
    <w:rsid w:val="29272DC4"/>
    <w:rsid w:val="2B022F40"/>
    <w:rsid w:val="2C9B5A87"/>
    <w:rsid w:val="2CEA68E0"/>
    <w:rsid w:val="2EADF2DF"/>
    <w:rsid w:val="2F771C51"/>
    <w:rsid w:val="30A672FE"/>
    <w:rsid w:val="30E50C9B"/>
    <w:rsid w:val="31C6098D"/>
    <w:rsid w:val="31DE5AFA"/>
    <w:rsid w:val="32E96F13"/>
    <w:rsid w:val="3315234D"/>
    <w:rsid w:val="3345169B"/>
    <w:rsid w:val="35E73E53"/>
    <w:rsid w:val="372C4223"/>
    <w:rsid w:val="383047C2"/>
    <w:rsid w:val="38D82C75"/>
    <w:rsid w:val="39E87308"/>
    <w:rsid w:val="3A2F1869"/>
    <w:rsid w:val="3B1B545C"/>
    <w:rsid w:val="3BDD57A8"/>
    <w:rsid w:val="3CA15000"/>
    <w:rsid w:val="3E152797"/>
    <w:rsid w:val="3F3705D0"/>
    <w:rsid w:val="3F8EA001"/>
    <w:rsid w:val="3FFF2448"/>
    <w:rsid w:val="454A5450"/>
    <w:rsid w:val="45FB7F8E"/>
    <w:rsid w:val="4698163E"/>
    <w:rsid w:val="48E7179C"/>
    <w:rsid w:val="4B1916F3"/>
    <w:rsid w:val="4B2E0B85"/>
    <w:rsid w:val="4C1C47CB"/>
    <w:rsid w:val="4F502704"/>
    <w:rsid w:val="4F813E7A"/>
    <w:rsid w:val="5300673D"/>
    <w:rsid w:val="531BBF1C"/>
    <w:rsid w:val="56737A74"/>
    <w:rsid w:val="57320BE6"/>
    <w:rsid w:val="5765574E"/>
    <w:rsid w:val="577FE8F8"/>
    <w:rsid w:val="57DCC933"/>
    <w:rsid w:val="57E430B1"/>
    <w:rsid w:val="57EFFFA5"/>
    <w:rsid w:val="59995566"/>
    <w:rsid w:val="5AD41B7B"/>
    <w:rsid w:val="5BFF48D5"/>
    <w:rsid w:val="5D7C6250"/>
    <w:rsid w:val="5DB78DAD"/>
    <w:rsid w:val="5EBC7805"/>
    <w:rsid w:val="614A1220"/>
    <w:rsid w:val="639E0253"/>
    <w:rsid w:val="64903001"/>
    <w:rsid w:val="649946C8"/>
    <w:rsid w:val="649B02DD"/>
    <w:rsid w:val="6560040A"/>
    <w:rsid w:val="65EA47FC"/>
    <w:rsid w:val="673F38B6"/>
    <w:rsid w:val="6A0A2218"/>
    <w:rsid w:val="6BDF6867"/>
    <w:rsid w:val="6BEE7CA4"/>
    <w:rsid w:val="6C36637B"/>
    <w:rsid w:val="6F1564CF"/>
    <w:rsid w:val="6F4935AF"/>
    <w:rsid w:val="6F55A6B9"/>
    <w:rsid w:val="6FA735FF"/>
    <w:rsid w:val="6FDBD71B"/>
    <w:rsid w:val="70E754D7"/>
    <w:rsid w:val="70F37571"/>
    <w:rsid w:val="71E10B20"/>
    <w:rsid w:val="745F43B3"/>
    <w:rsid w:val="74635EC1"/>
    <w:rsid w:val="74C62EC7"/>
    <w:rsid w:val="75FF3F52"/>
    <w:rsid w:val="76932202"/>
    <w:rsid w:val="770F1504"/>
    <w:rsid w:val="791333D0"/>
    <w:rsid w:val="79F813BD"/>
    <w:rsid w:val="7AD72AE5"/>
    <w:rsid w:val="7AFB784A"/>
    <w:rsid w:val="7CD27BF6"/>
    <w:rsid w:val="7CF35F24"/>
    <w:rsid w:val="7D724FF2"/>
    <w:rsid w:val="7D7DAA3B"/>
    <w:rsid w:val="7D7F6AA3"/>
    <w:rsid w:val="7E922364"/>
    <w:rsid w:val="7EEB40A0"/>
    <w:rsid w:val="7EF9597A"/>
    <w:rsid w:val="7EFCE895"/>
    <w:rsid w:val="7F8CF1BD"/>
    <w:rsid w:val="7FDF5CDD"/>
    <w:rsid w:val="7FFFE8B1"/>
    <w:rsid w:val="9D3D59CF"/>
    <w:rsid w:val="9FFF3FD8"/>
    <w:rsid w:val="9FFF6FB7"/>
    <w:rsid w:val="AFFFA8DF"/>
    <w:rsid w:val="B7677499"/>
    <w:rsid w:val="BBEEC4CC"/>
    <w:rsid w:val="BE6FA547"/>
    <w:rsid w:val="BFFD625A"/>
    <w:rsid w:val="CEF7F32B"/>
    <w:rsid w:val="D6FE70A7"/>
    <w:rsid w:val="DDFD1B34"/>
    <w:rsid w:val="DDFFA393"/>
    <w:rsid w:val="DED788EC"/>
    <w:rsid w:val="DFFAD6A0"/>
    <w:rsid w:val="DFFF1C8A"/>
    <w:rsid w:val="E377D6ED"/>
    <w:rsid w:val="E7FC53F8"/>
    <w:rsid w:val="E8D7236E"/>
    <w:rsid w:val="EDDFD35F"/>
    <w:rsid w:val="EE2BB752"/>
    <w:rsid w:val="EE4B5220"/>
    <w:rsid w:val="EF7FDFD8"/>
    <w:rsid w:val="EFEF5CF4"/>
    <w:rsid w:val="F6FF8377"/>
    <w:rsid w:val="F74B4E6B"/>
    <w:rsid w:val="F9EF2B35"/>
    <w:rsid w:val="FA7DB355"/>
    <w:rsid w:val="FB5FB3F9"/>
    <w:rsid w:val="FCFBD6CA"/>
    <w:rsid w:val="FDFEFE97"/>
    <w:rsid w:val="FEB73D35"/>
    <w:rsid w:val="FEEBB819"/>
    <w:rsid w:val="FF676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3"/>
    <w:qFormat/>
    <w:uiPriority w:val="0"/>
    <w:pPr>
      <w:keepNext/>
      <w:keepLines/>
      <w:spacing w:before="340" w:after="330" w:line="576" w:lineRule="auto"/>
      <w:outlineLvl w:val="0"/>
    </w:pPr>
    <w:rPr>
      <w:b/>
      <w:kern w:val="44"/>
      <w:sz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34"/>
    <w:qFormat/>
    <w:uiPriority w:val="0"/>
    <w:rPr>
      <w:rFonts w:ascii="宋体"/>
      <w:sz w:val="18"/>
      <w:szCs w:val="18"/>
    </w:rPr>
  </w:style>
  <w:style w:type="paragraph" w:styleId="4">
    <w:name w:val="Body Text"/>
    <w:basedOn w:val="1"/>
    <w:link w:val="42"/>
    <w:qFormat/>
    <w:uiPriority w:val="0"/>
    <w:pPr>
      <w:spacing w:after="120"/>
    </w:pPr>
  </w:style>
  <w:style w:type="paragraph" w:styleId="5">
    <w:name w:val="Date"/>
    <w:basedOn w:val="1"/>
    <w:next w:val="1"/>
    <w:link w:val="30"/>
    <w:qFormat/>
    <w:uiPriority w:val="0"/>
    <w:pPr>
      <w:ind w:left="100" w:leftChars="2500"/>
    </w:pPr>
  </w:style>
  <w:style w:type="paragraph" w:styleId="6">
    <w:name w:val="Balloon Text"/>
    <w:basedOn w:val="1"/>
    <w:link w:val="33"/>
    <w:qFormat/>
    <w:uiPriority w:val="99"/>
    <w:rPr>
      <w:sz w:val="18"/>
      <w:szCs w:val="18"/>
    </w:rPr>
  </w:style>
  <w:style w:type="paragraph" w:styleId="7">
    <w:name w:val="footer"/>
    <w:basedOn w:val="1"/>
    <w:link w:val="31"/>
    <w:qFormat/>
    <w:uiPriority w:val="99"/>
    <w:pPr>
      <w:tabs>
        <w:tab w:val="center" w:pos="4153"/>
        <w:tab w:val="right" w:pos="8306"/>
      </w:tabs>
      <w:snapToGrid w:val="0"/>
      <w:jc w:val="left"/>
    </w:pPr>
    <w:rPr>
      <w:sz w:val="18"/>
      <w:szCs w:val="18"/>
    </w:rPr>
  </w:style>
  <w:style w:type="paragraph" w:styleId="8">
    <w:name w:val="header"/>
    <w:basedOn w:val="1"/>
    <w:link w:val="29"/>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0"/>
    <w:rPr>
      <w:sz w:val="24"/>
    </w:rPr>
  </w:style>
  <w:style w:type="table" w:styleId="11">
    <w:name w:val="Table Grid"/>
    <w:basedOn w:val="10"/>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FollowedHyperlink"/>
    <w:basedOn w:val="12"/>
    <w:semiHidden/>
    <w:unhideWhenUsed/>
    <w:qFormat/>
    <w:uiPriority w:val="0"/>
    <w:rPr>
      <w:color w:val="333333"/>
      <w:u w:val="none"/>
    </w:rPr>
  </w:style>
  <w:style w:type="character" w:styleId="14">
    <w:name w:val="Hyperlink"/>
    <w:basedOn w:val="12"/>
    <w:unhideWhenUsed/>
    <w:qFormat/>
    <w:uiPriority w:val="0"/>
    <w:rPr>
      <w:color w:val="0000FF" w:themeColor="hyperlink"/>
      <w:u w:val="single"/>
      <w14:textFill>
        <w14:solidFill>
          <w14:schemeClr w14:val="hlink"/>
        </w14:solidFill>
      </w14:textFill>
    </w:rPr>
  </w:style>
  <w:style w:type="paragraph" w:customStyle="1" w:styleId="15">
    <w:name w:val="五级条标题"/>
    <w:basedOn w:val="16"/>
    <w:next w:val="20"/>
    <w:qFormat/>
    <w:uiPriority w:val="0"/>
    <w:pPr>
      <w:numPr>
        <w:ilvl w:val="5"/>
      </w:numPr>
      <w:outlineLvl w:val="6"/>
    </w:pPr>
  </w:style>
  <w:style w:type="paragraph" w:customStyle="1" w:styleId="16">
    <w:name w:val="四级条标题"/>
    <w:basedOn w:val="17"/>
    <w:next w:val="20"/>
    <w:qFormat/>
    <w:uiPriority w:val="0"/>
    <w:pPr>
      <w:numPr>
        <w:ilvl w:val="4"/>
      </w:numPr>
      <w:outlineLvl w:val="5"/>
    </w:pPr>
  </w:style>
  <w:style w:type="paragraph" w:customStyle="1" w:styleId="17">
    <w:name w:val="三级条标题"/>
    <w:basedOn w:val="18"/>
    <w:next w:val="20"/>
    <w:qFormat/>
    <w:uiPriority w:val="0"/>
    <w:pPr>
      <w:numPr>
        <w:ilvl w:val="3"/>
      </w:numPr>
      <w:outlineLvl w:val="4"/>
    </w:pPr>
  </w:style>
  <w:style w:type="paragraph" w:customStyle="1" w:styleId="18">
    <w:name w:val="二级条标题"/>
    <w:basedOn w:val="19"/>
    <w:next w:val="20"/>
    <w:qFormat/>
    <w:uiPriority w:val="0"/>
    <w:pPr>
      <w:numPr>
        <w:ilvl w:val="2"/>
      </w:numPr>
      <w:spacing w:before="50" w:after="50"/>
      <w:outlineLvl w:val="3"/>
    </w:pPr>
  </w:style>
  <w:style w:type="paragraph" w:customStyle="1" w:styleId="19">
    <w:name w:val="一级条标题"/>
    <w:next w:val="20"/>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20">
    <w:name w:val="段"/>
    <w:link w:val="3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1">
    <w:name w:val="附录图标号"/>
    <w:basedOn w:val="1"/>
    <w:qFormat/>
    <w:uiPriority w:val="0"/>
    <w:pPr>
      <w:keepNext/>
      <w:pageBreakBefore/>
      <w:widowControl/>
      <w:numPr>
        <w:ilvl w:val="0"/>
        <w:numId w:val="2"/>
      </w:numPr>
      <w:spacing w:line="14" w:lineRule="exact"/>
      <w:ind w:left="0" w:firstLine="363"/>
      <w:jc w:val="center"/>
      <w:outlineLvl w:val="0"/>
    </w:pPr>
    <w:rPr>
      <w:color w:val="FFFFFF"/>
    </w:rPr>
  </w:style>
  <w:style w:type="paragraph" w:customStyle="1" w:styleId="22">
    <w:name w:val="附录图标题"/>
    <w:basedOn w:val="1"/>
    <w:next w:val="20"/>
    <w:qFormat/>
    <w:uiPriority w:val="0"/>
    <w:pPr>
      <w:numPr>
        <w:ilvl w:val="1"/>
        <w:numId w:val="2"/>
      </w:numPr>
      <w:tabs>
        <w:tab w:val="left" w:pos="363"/>
      </w:tabs>
      <w:spacing w:beforeLines="50" w:afterLines="50"/>
      <w:ind w:left="0" w:firstLine="0"/>
      <w:jc w:val="center"/>
    </w:pPr>
    <w:rPr>
      <w:rFonts w:ascii="黑体" w:eastAsia="黑体"/>
      <w:szCs w:val="21"/>
    </w:rPr>
  </w:style>
  <w:style w:type="paragraph" w:customStyle="1" w:styleId="23">
    <w:name w:val="附录表标题"/>
    <w:basedOn w:val="1"/>
    <w:next w:val="20"/>
    <w:qFormat/>
    <w:uiPriority w:val="0"/>
    <w:pPr>
      <w:numPr>
        <w:ilvl w:val="1"/>
        <w:numId w:val="3"/>
      </w:numPr>
      <w:tabs>
        <w:tab w:val="left" w:pos="180"/>
      </w:tabs>
      <w:spacing w:beforeLines="50" w:afterLines="50"/>
      <w:ind w:left="0" w:firstLine="0"/>
      <w:jc w:val="center"/>
    </w:pPr>
    <w:rPr>
      <w:rFonts w:ascii="黑体" w:eastAsia="黑体"/>
      <w:szCs w:val="21"/>
    </w:rPr>
  </w:style>
  <w:style w:type="paragraph" w:customStyle="1" w:styleId="24">
    <w:name w:val="正文图标题"/>
    <w:next w:val="20"/>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5">
    <w:name w:val="正文表标题"/>
    <w:next w:val="20"/>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6">
    <w:name w:val="章标题"/>
    <w:next w:val="20"/>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7">
    <w:name w:val="注："/>
    <w:next w:val="20"/>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28">
    <w:name w:val="其他发布日期"/>
    <w:basedOn w:val="1"/>
    <w:qFormat/>
    <w:uiPriority w:val="0"/>
    <w:pPr>
      <w:framePr w:w="3997" w:h="471" w:hRule="exact" w:vSpace="181" w:wrap="around" w:vAnchor="page" w:hAnchor="page" w:x="1419" w:y="14097" w:anchorLock="1"/>
      <w:widowControl/>
      <w:numPr>
        <w:ilvl w:val="0"/>
        <w:numId w:val="6"/>
      </w:numPr>
      <w:jc w:val="left"/>
    </w:pPr>
    <w:rPr>
      <w:rFonts w:eastAsia="黑体"/>
      <w:kern w:val="0"/>
      <w:sz w:val="28"/>
      <w:szCs w:val="20"/>
    </w:rPr>
  </w:style>
  <w:style w:type="character" w:customStyle="1" w:styleId="29">
    <w:name w:val="页眉 Char"/>
    <w:basedOn w:val="12"/>
    <w:link w:val="8"/>
    <w:qFormat/>
    <w:uiPriority w:val="99"/>
    <w:rPr>
      <w:kern w:val="2"/>
      <w:sz w:val="18"/>
      <w:szCs w:val="18"/>
    </w:rPr>
  </w:style>
  <w:style w:type="character" w:customStyle="1" w:styleId="30">
    <w:name w:val="日期 Char"/>
    <w:basedOn w:val="12"/>
    <w:link w:val="5"/>
    <w:qFormat/>
    <w:uiPriority w:val="0"/>
    <w:rPr>
      <w:kern w:val="2"/>
      <w:sz w:val="21"/>
      <w:szCs w:val="24"/>
    </w:rPr>
  </w:style>
  <w:style w:type="character" w:customStyle="1" w:styleId="31">
    <w:name w:val="页脚 Char"/>
    <w:basedOn w:val="12"/>
    <w:link w:val="7"/>
    <w:qFormat/>
    <w:uiPriority w:val="99"/>
    <w:rPr>
      <w:kern w:val="2"/>
      <w:sz w:val="18"/>
      <w:szCs w:val="18"/>
    </w:rPr>
  </w:style>
  <w:style w:type="character" w:customStyle="1" w:styleId="32">
    <w:name w:val="段 Char"/>
    <w:basedOn w:val="12"/>
    <w:link w:val="20"/>
    <w:qFormat/>
    <w:uiPriority w:val="0"/>
    <w:rPr>
      <w:rFonts w:ascii="宋体"/>
      <w:sz w:val="21"/>
      <w:lang w:val="en-US" w:eastAsia="zh-CN" w:bidi="ar-SA"/>
    </w:rPr>
  </w:style>
  <w:style w:type="character" w:customStyle="1" w:styleId="33">
    <w:name w:val="批注框文本 Char"/>
    <w:basedOn w:val="12"/>
    <w:link w:val="6"/>
    <w:qFormat/>
    <w:uiPriority w:val="99"/>
    <w:rPr>
      <w:kern w:val="2"/>
      <w:sz w:val="18"/>
      <w:szCs w:val="18"/>
    </w:rPr>
  </w:style>
  <w:style w:type="character" w:customStyle="1" w:styleId="34">
    <w:name w:val="文档结构图 Char"/>
    <w:basedOn w:val="12"/>
    <w:link w:val="3"/>
    <w:qFormat/>
    <w:uiPriority w:val="0"/>
    <w:rPr>
      <w:rFonts w:ascii="宋体"/>
      <w:kern w:val="2"/>
      <w:sz w:val="18"/>
      <w:szCs w:val="18"/>
    </w:rPr>
  </w:style>
  <w:style w:type="table" w:customStyle="1" w:styleId="35">
    <w:name w:val="Table Normal"/>
    <w:semiHidden/>
    <w:unhideWhenUsed/>
    <w:qFormat/>
    <w:uiPriority w:val="2"/>
    <w:pPr>
      <w:widowControl w:val="0"/>
    </w:pPr>
    <w:rPr>
      <w:sz w:val="22"/>
      <w:szCs w:val="22"/>
      <w:lang w:eastAsia="en-US"/>
    </w:rPr>
    <w:tblPr>
      <w:tblCellMar>
        <w:top w:w="0" w:type="dxa"/>
        <w:left w:w="0" w:type="dxa"/>
        <w:bottom w:w="0" w:type="dxa"/>
        <w:right w:w="0" w:type="dxa"/>
      </w:tblCellMar>
    </w:tblPr>
  </w:style>
  <w:style w:type="paragraph" w:customStyle="1" w:styleId="36">
    <w:name w:val="正文文本1"/>
    <w:basedOn w:val="1"/>
    <w:next w:val="4"/>
    <w:link w:val="37"/>
    <w:qFormat/>
    <w:uiPriority w:val="1"/>
    <w:pPr>
      <w:spacing w:before="10"/>
      <w:ind w:left="142"/>
      <w:jc w:val="left"/>
    </w:pPr>
    <w:rPr>
      <w:rFonts w:ascii="宋体" w:hAnsi="宋体"/>
      <w:kern w:val="0"/>
      <w:sz w:val="24"/>
    </w:rPr>
  </w:style>
  <w:style w:type="character" w:customStyle="1" w:styleId="37">
    <w:name w:val="正文文本 Char"/>
    <w:basedOn w:val="12"/>
    <w:link w:val="36"/>
    <w:qFormat/>
    <w:uiPriority w:val="1"/>
    <w:rPr>
      <w:rFonts w:ascii="宋体" w:hAnsi="宋体" w:eastAsia="宋体"/>
      <w:sz w:val="24"/>
      <w:szCs w:val="24"/>
    </w:rPr>
  </w:style>
  <w:style w:type="paragraph" w:customStyle="1" w:styleId="38">
    <w:name w:val="标题 11"/>
    <w:basedOn w:val="1"/>
    <w:qFormat/>
    <w:uiPriority w:val="1"/>
    <w:pPr>
      <w:ind w:left="20"/>
      <w:jc w:val="left"/>
      <w:outlineLvl w:val="1"/>
    </w:pPr>
    <w:rPr>
      <w:rFonts w:ascii="黑体" w:hAnsi="黑体" w:eastAsia="黑体"/>
      <w:kern w:val="0"/>
      <w:sz w:val="28"/>
      <w:szCs w:val="28"/>
      <w:lang w:eastAsia="en-US"/>
    </w:rPr>
  </w:style>
  <w:style w:type="paragraph" w:customStyle="1" w:styleId="39">
    <w:name w:val="列出段落1"/>
    <w:basedOn w:val="1"/>
    <w:next w:val="40"/>
    <w:qFormat/>
    <w:uiPriority w:val="1"/>
    <w:pPr>
      <w:jc w:val="left"/>
    </w:pPr>
    <w:rPr>
      <w:rFonts w:ascii="Calibri" w:hAnsi="Calibri"/>
      <w:kern w:val="0"/>
      <w:sz w:val="22"/>
      <w:szCs w:val="22"/>
      <w:lang w:eastAsia="en-US"/>
    </w:rPr>
  </w:style>
  <w:style w:type="paragraph" w:styleId="40">
    <w:name w:val="List Paragraph"/>
    <w:basedOn w:val="1"/>
    <w:unhideWhenUsed/>
    <w:qFormat/>
    <w:uiPriority w:val="99"/>
    <w:pPr>
      <w:ind w:firstLine="420" w:firstLineChars="200"/>
    </w:pPr>
  </w:style>
  <w:style w:type="paragraph" w:customStyle="1" w:styleId="41">
    <w:name w:val="Table Paragraph"/>
    <w:basedOn w:val="1"/>
    <w:qFormat/>
    <w:uiPriority w:val="1"/>
    <w:pPr>
      <w:jc w:val="left"/>
    </w:pPr>
    <w:rPr>
      <w:rFonts w:ascii="Calibri" w:hAnsi="Calibri"/>
      <w:kern w:val="0"/>
      <w:sz w:val="22"/>
      <w:szCs w:val="22"/>
      <w:lang w:eastAsia="en-US"/>
    </w:rPr>
  </w:style>
  <w:style w:type="character" w:customStyle="1" w:styleId="42">
    <w:name w:val="正文文本 Char1"/>
    <w:basedOn w:val="12"/>
    <w:link w:val="4"/>
    <w:qFormat/>
    <w:uiPriority w:val="0"/>
    <w:rPr>
      <w:kern w:val="2"/>
      <w:sz w:val="21"/>
      <w:szCs w:val="24"/>
    </w:rPr>
  </w:style>
  <w:style w:type="character" w:customStyle="1" w:styleId="43">
    <w:name w:val="标题 1 Char"/>
    <w:basedOn w:val="12"/>
    <w:link w:val="2"/>
    <w:qFormat/>
    <w:uiPriority w:val="0"/>
    <w:rPr>
      <w:b/>
      <w:bCs/>
      <w:kern w:val="44"/>
      <w:sz w:val="44"/>
      <w:szCs w:val="44"/>
    </w:rPr>
  </w:style>
  <w:style w:type="character" w:customStyle="1" w:styleId="44">
    <w:name w:val="sysj"/>
    <w:basedOn w:val="12"/>
    <w:qFormat/>
    <w:uiPriority w:val="0"/>
  </w:style>
  <w:style w:type="character" w:customStyle="1" w:styleId="45">
    <w:name w:val="thisit"/>
    <w:basedOn w:val="12"/>
    <w:qFormat/>
    <w:uiPriority w:val="0"/>
  </w:style>
  <w:style w:type="character" w:customStyle="1" w:styleId="46">
    <w:name w:val="bzmc"/>
    <w:basedOn w:val="12"/>
    <w:qFormat/>
    <w:uiPriority w:val="0"/>
  </w:style>
  <w:style w:type="character" w:customStyle="1" w:styleId="47">
    <w:name w:val="bzmc1"/>
    <w:basedOn w:val="12"/>
    <w:qFormat/>
    <w:uiPriority w:val="0"/>
  </w:style>
  <w:style w:type="character" w:customStyle="1" w:styleId="48">
    <w:name w:val="bzmc2"/>
    <w:basedOn w:val="12"/>
    <w:qFormat/>
    <w:uiPriority w:val="0"/>
  </w:style>
  <w:style w:type="character" w:customStyle="1" w:styleId="49">
    <w:name w:val="f_r6"/>
    <w:basedOn w:val="12"/>
    <w:qFormat/>
    <w:uiPriority w:val="0"/>
  </w:style>
  <w:style w:type="character" w:customStyle="1" w:styleId="50">
    <w:name w:val="bzrq2"/>
    <w:basedOn w:val="12"/>
    <w:qFormat/>
    <w:uiPriority w:val="0"/>
  </w:style>
  <w:style w:type="character" w:customStyle="1" w:styleId="51">
    <w:name w:val="bsharetext"/>
    <w:basedOn w:val="12"/>
    <w:qFormat/>
    <w:uiPriority w:val="0"/>
  </w:style>
  <w:style w:type="paragraph" w:customStyle="1" w:styleId="52">
    <w:name w:val="标准文件_表格"/>
    <w:basedOn w:val="1"/>
    <w:qFormat/>
    <w:uiPriority w:val="0"/>
    <w:pPr>
      <w:widowControl/>
      <w:autoSpaceDE w:val="0"/>
      <w:autoSpaceDN w:val="0"/>
      <w:jc w:val="center"/>
    </w:pPr>
    <w:rPr>
      <w:rFonts w:hint="eastAsia" w:ascii="宋体"/>
      <w:kern w:val="0"/>
      <w:sz w:val="18"/>
      <w:szCs w:val="20"/>
    </w:rPr>
  </w:style>
  <w:style w:type="paragraph" w:customStyle="1" w:styleId="53">
    <w:name w:val="标准文件_正文表标题"/>
    <w:basedOn w:val="1"/>
    <w:next w:val="1"/>
    <w:qFormat/>
    <w:uiPriority w:val="0"/>
    <w:pPr>
      <w:widowControl/>
      <w:numPr>
        <w:ilvl w:val="0"/>
        <w:numId w:val="7"/>
      </w:numPr>
      <w:tabs>
        <w:tab w:val="left" w:pos="0"/>
      </w:tabs>
      <w:spacing w:beforeLines="50"/>
      <w:jc w:val="center"/>
    </w:pPr>
    <w:rPr>
      <w:rFonts w:hint="eastAsia" w:ascii="黑体" w:eastAsia="黑体"/>
      <w:kern w:val="0"/>
      <w:szCs w:val="20"/>
    </w:rPr>
  </w:style>
  <w:style w:type="character" w:customStyle="1" w:styleId="54">
    <w:name w:val="标准文件_段 Char"/>
    <w:basedOn w:val="12"/>
    <w:link w:val="55"/>
    <w:qFormat/>
    <w:uiPriority w:val="0"/>
    <w:rPr>
      <w:rFonts w:hint="eastAsia" w:ascii="宋体" w:hAnsi="Times New Roman" w:eastAsia="宋体" w:cs="宋体"/>
      <w:sz w:val="21"/>
    </w:rPr>
  </w:style>
  <w:style w:type="paragraph" w:customStyle="1" w:styleId="55">
    <w:name w:val="标准文件_段"/>
    <w:basedOn w:val="1"/>
    <w:link w:val="54"/>
    <w:qFormat/>
    <w:uiPriority w:val="0"/>
    <w:pPr>
      <w:widowControl/>
      <w:autoSpaceDE w:val="0"/>
      <w:autoSpaceDN w:val="0"/>
      <w:ind w:firstLine="200" w:firstLineChars="200"/>
    </w:pPr>
    <w:rPr>
      <w:rFonts w:hint="eastAsia" w:ascii="宋体"/>
      <w:kern w:val="0"/>
      <w:szCs w:val="20"/>
    </w:rPr>
  </w:style>
  <w:style w:type="paragraph" w:customStyle="1" w:styleId="56">
    <w:name w:val="样式1"/>
    <w:basedOn w:val="1"/>
    <w:qFormat/>
    <w:uiPriority w:val="99"/>
    <w:pPr>
      <w:jc w:val="left"/>
    </w:pPr>
    <w:rPr>
      <w:rFonts w:eastAsia="仿宋_GB2312"/>
      <w:sz w:val="32"/>
    </w:rPr>
  </w:style>
  <w:style w:type="paragraph" w:customStyle="1" w:styleId="57">
    <w:name w:val="Default"/>
    <w:unhideWhenUsed/>
    <w:qFormat/>
    <w:uiPriority w:val="99"/>
    <w:pPr>
      <w:widowControl w:val="0"/>
      <w:autoSpaceDE w:val="0"/>
      <w:autoSpaceDN w:val="0"/>
      <w:adjustRightInd w:val="0"/>
    </w:pPr>
    <w:rPr>
      <w:rFonts w:hint="eastAsia" w:ascii="方正小标宋_GBK" w:hAnsi="方正小标宋_GBK" w:eastAsia="方正小标宋_GBK" w:cs="Times New Roman"/>
      <w:color w:val="000000"/>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3</Pages>
  <Words>3591</Words>
  <Characters>3757</Characters>
  <Lines>28</Lines>
  <Paragraphs>7</Paragraphs>
  <TotalTime>4</TotalTime>
  <ScaleCrop>false</ScaleCrop>
  <LinksUpToDate>false</LinksUpToDate>
  <CharactersWithSpaces>3915</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2021-01-22T08:38:00Z</dcterms:created>
  <dc:creator>Microsoft</dc:creator>
  <cp:lastModifiedBy>葛智文</cp:lastModifiedBy>
  <cp:lastPrinted>2021-01-30T03:42:00Z</cp:lastPrinted>
  <dcterms:modified xsi:type="dcterms:W3CDTF">2026-04-21T15:41:01Z</dcterms:modified>
  <dc:title>广西地方标准《脱氢枞酸》（征求意见稿）</dc:title>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A5F26D5AE74D4BD9864984FE8189E07C</vt:lpwstr>
  </property>
  <property fmtid="{D5CDD505-2E9C-101B-9397-08002B2CF9AE}" pid="4" name="KSOTemplateDocerSaveRecord">
    <vt:lpwstr>eyJoZGlkIjoiY2YwOWZhYjY4NTc1ODk0YzEyMmE5ODgyMGUzODIwMWYiLCJ1c2VySWQiOiIxNDQxNzIzNTgzIn0=</vt:lpwstr>
  </property>
</Properties>
</file>